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2271C2" w14:textId="77777777" w:rsidR="006558EB" w:rsidRPr="003D27D1" w:rsidRDefault="006558EB" w:rsidP="006558EB">
      <w:pPr>
        <w:tabs>
          <w:tab w:val="left" w:pos="720"/>
        </w:tabs>
        <w:spacing w:after="0" w:line="240" w:lineRule="auto"/>
        <w:jc w:val="center"/>
        <w:rPr>
          <w:rFonts w:ascii="Times New Roman" w:eastAsia="Calibri" w:hAnsi="Times New Roman" w:cs="Times New Roman"/>
          <w:sz w:val="24"/>
          <w:szCs w:val="24"/>
        </w:rPr>
      </w:pPr>
      <w:r w:rsidRPr="003D27D1">
        <w:rPr>
          <w:rFonts w:ascii="Times New Roman" w:eastAsia="Calibri" w:hAnsi="Times New Roman" w:cs="Times New Roman"/>
          <w:b/>
          <w:sz w:val="24"/>
          <w:szCs w:val="24"/>
        </w:rPr>
        <w:t>PUC DOCKET NO. 49421</w:t>
      </w:r>
    </w:p>
    <w:p w14:paraId="3EE625ED" w14:textId="4A18C1D1" w:rsidR="00A9637B" w:rsidRPr="003D27D1" w:rsidRDefault="00A9637B" w:rsidP="00A9637B">
      <w:pPr>
        <w:tabs>
          <w:tab w:val="left" w:pos="720"/>
        </w:tabs>
        <w:spacing w:after="0" w:line="240" w:lineRule="auto"/>
        <w:jc w:val="center"/>
        <w:rPr>
          <w:rFonts w:ascii="Times New Roman" w:eastAsia="Calibri" w:hAnsi="Times New Roman" w:cs="Times New Roman"/>
          <w:b/>
          <w:sz w:val="24"/>
          <w:szCs w:val="24"/>
        </w:rPr>
      </w:pPr>
      <w:r w:rsidRPr="003D27D1">
        <w:rPr>
          <w:rFonts w:ascii="Times New Roman" w:eastAsia="Calibri" w:hAnsi="Times New Roman" w:cs="Times New Roman"/>
          <w:b/>
          <w:sz w:val="24"/>
          <w:szCs w:val="24"/>
        </w:rPr>
        <w:t>SOAH DOCKET NO. 473-19-3864</w:t>
      </w:r>
    </w:p>
    <w:p w14:paraId="0D3365CA" w14:textId="77777777" w:rsidR="00A9637B" w:rsidRPr="003D27D1" w:rsidRDefault="00A9637B" w:rsidP="00A9637B">
      <w:pPr>
        <w:tabs>
          <w:tab w:val="left" w:pos="720"/>
        </w:tabs>
        <w:spacing w:after="0" w:line="240" w:lineRule="auto"/>
        <w:jc w:val="center"/>
        <w:rPr>
          <w:rFonts w:ascii="Times New Roman" w:eastAsia="Calibri" w:hAnsi="Times New Roman" w:cs="Times New Roman"/>
          <w:sz w:val="24"/>
          <w:szCs w:val="24"/>
        </w:rPr>
      </w:pPr>
    </w:p>
    <w:tbl>
      <w:tblPr>
        <w:tblW w:w="9400" w:type="dxa"/>
        <w:tblInd w:w="-90" w:type="dxa"/>
        <w:tblLayout w:type="fixed"/>
        <w:tblCellMar>
          <w:left w:w="40" w:type="dxa"/>
          <w:right w:w="40" w:type="dxa"/>
        </w:tblCellMar>
        <w:tblLook w:val="0000" w:firstRow="0" w:lastRow="0" w:firstColumn="0" w:lastColumn="0" w:noHBand="0" w:noVBand="0"/>
      </w:tblPr>
      <w:tblGrid>
        <w:gridCol w:w="4590"/>
        <w:gridCol w:w="720"/>
        <w:gridCol w:w="4090"/>
      </w:tblGrid>
      <w:tr w:rsidR="00A9637B" w:rsidRPr="003D27D1" w14:paraId="2F77546D" w14:textId="77777777" w:rsidTr="000F7845">
        <w:tc>
          <w:tcPr>
            <w:tcW w:w="4590" w:type="dxa"/>
            <w:tcBorders>
              <w:top w:val="nil"/>
              <w:left w:val="nil"/>
              <w:bottom w:val="nil"/>
              <w:right w:val="nil"/>
            </w:tcBorders>
          </w:tcPr>
          <w:p w14:paraId="07D4B63A" w14:textId="77777777" w:rsidR="00A9637B" w:rsidRPr="003D27D1" w:rsidRDefault="00A9637B" w:rsidP="00A9637B">
            <w:pPr>
              <w:widowControl w:val="0"/>
              <w:autoSpaceDE w:val="0"/>
              <w:autoSpaceDN w:val="0"/>
              <w:adjustRightInd w:val="0"/>
              <w:spacing w:after="0" w:line="240" w:lineRule="atLeast"/>
              <w:rPr>
                <w:rFonts w:ascii="Times New Roman" w:eastAsia="Times New Roman" w:hAnsi="Times New Roman" w:cs="Times New Roman"/>
                <w:b/>
                <w:snapToGrid w:val="0"/>
                <w:sz w:val="24"/>
                <w:szCs w:val="24"/>
              </w:rPr>
            </w:pPr>
            <w:r w:rsidRPr="003D27D1">
              <w:rPr>
                <w:rFonts w:ascii="Times New Roman" w:eastAsia="Times New Roman" w:hAnsi="Times New Roman" w:cs="Times New Roman"/>
                <w:b/>
                <w:bCs/>
                <w:snapToGrid w:val="0"/>
                <w:sz w:val="24"/>
                <w:szCs w:val="24"/>
              </w:rPr>
              <w:t xml:space="preserve">APPLICATION OF </w:t>
            </w:r>
            <w:r w:rsidRPr="003D27D1">
              <w:rPr>
                <w:rFonts w:ascii="Times New Roman" w:eastAsia="Times New Roman" w:hAnsi="Times New Roman" w:cs="Times New Roman"/>
                <w:b/>
                <w:snapToGrid w:val="0"/>
                <w:color w:val="000000"/>
                <w:sz w:val="24"/>
                <w:szCs w:val="24"/>
              </w:rPr>
              <w:t>CENTERPOINT</w:t>
            </w:r>
            <w:r w:rsidRPr="003D27D1">
              <w:rPr>
                <w:rFonts w:ascii="Times New Roman" w:eastAsia="Times New Roman" w:hAnsi="Times New Roman" w:cs="Times New Roman"/>
                <w:b/>
                <w:bCs/>
                <w:snapToGrid w:val="0"/>
                <w:sz w:val="24"/>
                <w:szCs w:val="24"/>
              </w:rPr>
              <w:t xml:space="preserve"> ENERGY HOUSTON ELECTRIC, LLC FOR AUTHORITY TO CHANGE RATES</w:t>
            </w:r>
          </w:p>
        </w:tc>
        <w:tc>
          <w:tcPr>
            <w:tcW w:w="720" w:type="dxa"/>
            <w:tcBorders>
              <w:top w:val="nil"/>
              <w:left w:val="nil"/>
              <w:bottom w:val="nil"/>
              <w:right w:val="nil"/>
            </w:tcBorders>
          </w:tcPr>
          <w:p w14:paraId="065F7942" w14:textId="77777777" w:rsidR="00A9637B" w:rsidRPr="003D27D1" w:rsidRDefault="00A9637B" w:rsidP="00A9637B">
            <w:pPr>
              <w:widowControl w:val="0"/>
              <w:autoSpaceDE w:val="0"/>
              <w:autoSpaceDN w:val="0"/>
              <w:adjustRightInd w:val="0"/>
              <w:spacing w:after="0" w:line="240" w:lineRule="atLeast"/>
              <w:ind w:left="108" w:right="108"/>
              <w:rPr>
                <w:rFonts w:ascii="Times New Roman" w:eastAsia="Times New Roman" w:hAnsi="Times New Roman" w:cs="Times New Roman"/>
                <w:b/>
                <w:snapToGrid w:val="0"/>
                <w:color w:val="000000"/>
                <w:sz w:val="24"/>
                <w:szCs w:val="24"/>
              </w:rPr>
            </w:pPr>
            <w:r w:rsidRPr="003D27D1">
              <w:rPr>
                <w:rFonts w:ascii="Times New Roman" w:eastAsia="Times New Roman" w:hAnsi="Times New Roman" w:cs="Times New Roman"/>
                <w:b/>
                <w:snapToGrid w:val="0"/>
                <w:color w:val="000000"/>
                <w:sz w:val="24"/>
                <w:szCs w:val="24"/>
              </w:rPr>
              <w:t>§</w:t>
            </w:r>
          </w:p>
          <w:p w14:paraId="17BB9692" w14:textId="77777777" w:rsidR="00A9637B" w:rsidRPr="003D27D1" w:rsidRDefault="00A9637B" w:rsidP="00A9637B">
            <w:pPr>
              <w:widowControl w:val="0"/>
              <w:autoSpaceDE w:val="0"/>
              <w:autoSpaceDN w:val="0"/>
              <w:adjustRightInd w:val="0"/>
              <w:spacing w:after="0" w:line="240" w:lineRule="atLeast"/>
              <w:ind w:left="108" w:right="108"/>
              <w:rPr>
                <w:rFonts w:ascii="Times New Roman" w:eastAsia="Times New Roman" w:hAnsi="Times New Roman" w:cs="Times New Roman"/>
                <w:b/>
                <w:snapToGrid w:val="0"/>
                <w:color w:val="000000"/>
                <w:sz w:val="24"/>
                <w:szCs w:val="24"/>
              </w:rPr>
            </w:pPr>
            <w:r w:rsidRPr="003D27D1">
              <w:rPr>
                <w:rFonts w:ascii="Times New Roman" w:eastAsia="Times New Roman" w:hAnsi="Times New Roman" w:cs="Times New Roman"/>
                <w:b/>
                <w:snapToGrid w:val="0"/>
                <w:color w:val="000000"/>
                <w:sz w:val="24"/>
                <w:szCs w:val="24"/>
              </w:rPr>
              <w:t>§</w:t>
            </w:r>
          </w:p>
          <w:p w14:paraId="128C1E5B" w14:textId="77777777" w:rsidR="00A9637B" w:rsidRPr="003D27D1" w:rsidRDefault="00A9637B" w:rsidP="00A9637B">
            <w:pPr>
              <w:widowControl w:val="0"/>
              <w:autoSpaceDE w:val="0"/>
              <w:autoSpaceDN w:val="0"/>
              <w:adjustRightInd w:val="0"/>
              <w:spacing w:after="0" w:line="240" w:lineRule="atLeast"/>
              <w:ind w:left="108" w:right="108"/>
              <w:rPr>
                <w:rFonts w:ascii="Times New Roman" w:eastAsia="Times New Roman" w:hAnsi="Times New Roman" w:cs="Times New Roman"/>
                <w:b/>
                <w:snapToGrid w:val="0"/>
                <w:color w:val="000000"/>
                <w:sz w:val="24"/>
                <w:szCs w:val="24"/>
              </w:rPr>
            </w:pPr>
            <w:r w:rsidRPr="003D27D1">
              <w:rPr>
                <w:rFonts w:ascii="Times New Roman" w:eastAsia="Times New Roman" w:hAnsi="Times New Roman" w:cs="Times New Roman"/>
                <w:b/>
                <w:snapToGrid w:val="0"/>
                <w:color w:val="000000"/>
                <w:sz w:val="24"/>
                <w:szCs w:val="24"/>
              </w:rPr>
              <w:t>§</w:t>
            </w:r>
          </w:p>
        </w:tc>
        <w:tc>
          <w:tcPr>
            <w:tcW w:w="4090" w:type="dxa"/>
            <w:tcBorders>
              <w:top w:val="nil"/>
              <w:left w:val="nil"/>
              <w:bottom w:val="nil"/>
              <w:right w:val="nil"/>
            </w:tcBorders>
          </w:tcPr>
          <w:p w14:paraId="24754F32" w14:textId="6C090294" w:rsidR="00A9637B" w:rsidRPr="003D27D1" w:rsidRDefault="00A9637B" w:rsidP="00A9637B">
            <w:pPr>
              <w:widowControl w:val="0"/>
              <w:autoSpaceDE w:val="0"/>
              <w:autoSpaceDN w:val="0"/>
              <w:adjustRightInd w:val="0"/>
              <w:spacing w:after="0" w:line="240" w:lineRule="atLeast"/>
              <w:ind w:right="108"/>
              <w:jc w:val="center"/>
              <w:rPr>
                <w:rFonts w:ascii="Times New Roman" w:eastAsia="Times New Roman" w:hAnsi="Times New Roman" w:cs="Times New Roman"/>
                <w:b/>
                <w:snapToGrid w:val="0"/>
                <w:color w:val="000000"/>
                <w:sz w:val="24"/>
                <w:szCs w:val="24"/>
              </w:rPr>
            </w:pPr>
            <w:r w:rsidRPr="003D27D1">
              <w:rPr>
                <w:rFonts w:ascii="Times New Roman" w:eastAsia="Times New Roman" w:hAnsi="Times New Roman" w:cs="Times New Roman"/>
                <w:b/>
                <w:snapToGrid w:val="0"/>
                <w:color w:val="000000"/>
                <w:sz w:val="24"/>
                <w:szCs w:val="24"/>
              </w:rPr>
              <w:t>BEFORE THE</w:t>
            </w:r>
          </w:p>
          <w:p w14:paraId="436BE53D" w14:textId="5857289A" w:rsidR="00A9637B" w:rsidRPr="003D27D1" w:rsidRDefault="006558EB" w:rsidP="00A9637B">
            <w:pPr>
              <w:widowControl w:val="0"/>
              <w:autoSpaceDE w:val="0"/>
              <w:autoSpaceDN w:val="0"/>
              <w:adjustRightInd w:val="0"/>
              <w:spacing w:after="0" w:line="240" w:lineRule="atLeast"/>
              <w:ind w:right="108"/>
              <w:jc w:val="center"/>
              <w:rPr>
                <w:rFonts w:ascii="Times New Roman" w:eastAsia="Times New Roman" w:hAnsi="Times New Roman" w:cs="Times New Roman"/>
                <w:b/>
                <w:snapToGrid w:val="0"/>
                <w:color w:val="000000"/>
                <w:sz w:val="24"/>
                <w:szCs w:val="24"/>
              </w:rPr>
            </w:pPr>
            <w:r w:rsidRPr="003D27D1">
              <w:rPr>
                <w:rFonts w:ascii="Times New Roman" w:eastAsia="Times New Roman" w:hAnsi="Times New Roman" w:cs="Times New Roman"/>
                <w:b/>
                <w:snapToGrid w:val="0"/>
                <w:color w:val="000000"/>
                <w:sz w:val="24"/>
                <w:szCs w:val="24"/>
              </w:rPr>
              <w:t>PUBLIC UTILITY COMMISSION</w:t>
            </w:r>
          </w:p>
          <w:p w14:paraId="1D463838" w14:textId="0534E45F" w:rsidR="00A9637B" w:rsidRPr="003D27D1" w:rsidRDefault="006558EB" w:rsidP="00A9637B">
            <w:pPr>
              <w:widowControl w:val="0"/>
              <w:autoSpaceDE w:val="0"/>
              <w:autoSpaceDN w:val="0"/>
              <w:adjustRightInd w:val="0"/>
              <w:spacing w:after="0" w:line="240" w:lineRule="atLeast"/>
              <w:ind w:right="108"/>
              <w:jc w:val="center"/>
              <w:rPr>
                <w:rFonts w:ascii="Times New Roman" w:eastAsia="Times New Roman" w:hAnsi="Times New Roman" w:cs="Times New Roman"/>
                <w:b/>
                <w:snapToGrid w:val="0"/>
                <w:color w:val="000000"/>
                <w:sz w:val="24"/>
                <w:szCs w:val="24"/>
              </w:rPr>
            </w:pPr>
            <w:r w:rsidRPr="003D27D1">
              <w:rPr>
                <w:rFonts w:ascii="Times New Roman" w:eastAsia="Times New Roman" w:hAnsi="Times New Roman" w:cs="Times New Roman"/>
                <w:b/>
                <w:snapToGrid w:val="0"/>
                <w:color w:val="000000"/>
                <w:sz w:val="24"/>
                <w:szCs w:val="24"/>
              </w:rPr>
              <w:t>OF TEXAS</w:t>
            </w:r>
          </w:p>
          <w:p w14:paraId="29E774C4" w14:textId="77777777" w:rsidR="00A9637B" w:rsidRPr="003D27D1" w:rsidRDefault="00A9637B" w:rsidP="00A9637B">
            <w:pPr>
              <w:widowControl w:val="0"/>
              <w:autoSpaceDE w:val="0"/>
              <w:autoSpaceDN w:val="0"/>
              <w:adjustRightInd w:val="0"/>
              <w:spacing w:after="0" w:line="240" w:lineRule="atLeast"/>
              <w:jc w:val="center"/>
              <w:rPr>
                <w:rFonts w:ascii="Times New Roman" w:eastAsia="Times New Roman" w:hAnsi="Times New Roman" w:cs="Times New Roman"/>
                <w:b/>
                <w:snapToGrid w:val="0"/>
                <w:color w:val="000000"/>
                <w:sz w:val="24"/>
                <w:szCs w:val="24"/>
              </w:rPr>
            </w:pPr>
          </w:p>
        </w:tc>
      </w:tr>
    </w:tbl>
    <w:p w14:paraId="0FEEAF8B" w14:textId="77777777" w:rsidR="007821C9" w:rsidRPr="003D27D1" w:rsidRDefault="007821C9" w:rsidP="00A9637B">
      <w:pPr>
        <w:spacing w:after="0" w:line="240" w:lineRule="auto"/>
        <w:rPr>
          <w:rFonts w:ascii="Times New Roman" w:hAnsi="Times New Roman" w:cs="Times New Roman"/>
          <w:sz w:val="24"/>
          <w:szCs w:val="24"/>
        </w:rPr>
      </w:pPr>
    </w:p>
    <w:p w14:paraId="52D12815" w14:textId="3986E6E6" w:rsidR="007821C9" w:rsidRPr="003D27D1" w:rsidRDefault="00DD275B" w:rsidP="007821C9">
      <w:pPr>
        <w:jc w:val="center"/>
        <w:rPr>
          <w:rFonts w:ascii="Times New Roman" w:hAnsi="Times New Roman" w:cs="Times New Roman"/>
          <w:b/>
          <w:bCs/>
          <w:sz w:val="24"/>
          <w:szCs w:val="24"/>
        </w:rPr>
      </w:pPr>
      <w:r w:rsidRPr="003D27D1">
        <w:rPr>
          <w:rFonts w:ascii="Times New Roman" w:hAnsi="Times New Roman" w:cs="Times New Roman"/>
          <w:b/>
          <w:bCs/>
          <w:sz w:val="24"/>
          <w:szCs w:val="24"/>
        </w:rPr>
        <w:t xml:space="preserve">PROPOSED </w:t>
      </w:r>
      <w:r w:rsidR="007821C9" w:rsidRPr="003D27D1">
        <w:rPr>
          <w:rFonts w:ascii="Times New Roman" w:hAnsi="Times New Roman" w:cs="Times New Roman"/>
          <w:b/>
          <w:bCs/>
          <w:sz w:val="24"/>
          <w:szCs w:val="24"/>
        </w:rPr>
        <w:t>ORDER</w:t>
      </w:r>
    </w:p>
    <w:p w14:paraId="3CFB9D7F" w14:textId="2297C5C5" w:rsidR="007821C9" w:rsidRPr="003D27D1" w:rsidRDefault="007821C9" w:rsidP="00285C56">
      <w:pPr>
        <w:spacing w:before="120" w:after="0" w:line="360" w:lineRule="auto"/>
        <w:jc w:val="both"/>
        <w:rPr>
          <w:rFonts w:ascii="Times New Roman" w:hAnsi="Times New Roman" w:cs="Times New Roman"/>
          <w:sz w:val="24"/>
          <w:szCs w:val="24"/>
        </w:rPr>
      </w:pPr>
      <w:r w:rsidRPr="003D27D1">
        <w:rPr>
          <w:rFonts w:ascii="Times New Roman" w:hAnsi="Times New Roman" w:cs="Times New Roman"/>
          <w:sz w:val="24"/>
          <w:szCs w:val="24"/>
        </w:rPr>
        <w:tab/>
        <w:t>This Order addresses the application of CenterPo</w:t>
      </w:r>
      <w:r w:rsidR="009C4E2C" w:rsidRPr="003D27D1">
        <w:rPr>
          <w:rFonts w:ascii="Times New Roman" w:hAnsi="Times New Roman" w:cs="Times New Roman"/>
          <w:sz w:val="24"/>
          <w:szCs w:val="24"/>
        </w:rPr>
        <w:t>i</w:t>
      </w:r>
      <w:r w:rsidRPr="003D27D1">
        <w:rPr>
          <w:rFonts w:ascii="Times New Roman" w:hAnsi="Times New Roman" w:cs="Times New Roman"/>
          <w:sz w:val="24"/>
          <w:szCs w:val="24"/>
        </w:rPr>
        <w:t xml:space="preserve">nt Energy Houston Electric, LLC (CenterPoint Houston) for authority to change its rates.  CenterPoint Houston filed a settlement agreement that </w:t>
      </w:r>
      <w:r w:rsidR="000C0972" w:rsidRPr="003D27D1">
        <w:rPr>
          <w:rFonts w:ascii="Times New Roman" w:hAnsi="Times New Roman" w:cs="Times New Roman"/>
          <w:sz w:val="24"/>
          <w:szCs w:val="24"/>
        </w:rPr>
        <w:t>resolves certain issues among the parties to the proceeding.  The signatories to the settlement agreement are CenterPoint Houston, Staff of the Public Utility Commission of Texas,</w:t>
      </w:r>
      <w:r w:rsidR="009D7205" w:rsidRPr="003D27D1">
        <w:rPr>
          <w:rFonts w:ascii="Times New Roman" w:hAnsi="Times New Roman" w:cs="Times New Roman"/>
          <w:sz w:val="24"/>
          <w:szCs w:val="24"/>
        </w:rPr>
        <w:t xml:space="preserve"> Office of Public Utility Counsel,</w:t>
      </w:r>
      <w:r w:rsidR="000C0972" w:rsidRPr="003D27D1">
        <w:rPr>
          <w:rFonts w:ascii="Times New Roman" w:hAnsi="Times New Roman" w:cs="Times New Roman"/>
          <w:sz w:val="24"/>
          <w:szCs w:val="24"/>
        </w:rPr>
        <w:t xml:space="preserve"> </w:t>
      </w:r>
      <w:r w:rsidR="006C0E53">
        <w:rPr>
          <w:rFonts w:ascii="Times New Roman" w:hAnsi="Times New Roman" w:cs="Times New Roman"/>
          <w:sz w:val="24"/>
          <w:szCs w:val="24"/>
        </w:rPr>
        <w:t xml:space="preserve">City of Houston/Houston Coalition of Cities, </w:t>
      </w:r>
      <w:r w:rsidR="000C0972" w:rsidRPr="003D27D1">
        <w:rPr>
          <w:rFonts w:ascii="Times New Roman" w:hAnsi="Times New Roman" w:cs="Times New Roman"/>
          <w:sz w:val="24"/>
          <w:szCs w:val="24"/>
        </w:rPr>
        <w:t xml:space="preserve">Gulf Coast Coalition of Cities, </w:t>
      </w:r>
      <w:r w:rsidR="006C0E53">
        <w:rPr>
          <w:rFonts w:ascii="Times New Roman" w:hAnsi="Times New Roman" w:cs="Times New Roman"/>
          <w:sz w:val="24"/>
          <w:szCs w:val="24"/>
        </w:rPr>
        <w:t>Texas Coast Utilities Coalition</w:t>
      </w:r>
      <w:r w:rsidR="00A16705">
        <w:rPr>
          <w:rFonts w:ascii="Times New Roman" w:hAnsi="Times New Roman" w:cs="Times New Roman"/>
          <w:sz w:val="24"/>
          <w:szCs w:val="24"/>
        </w:rPr>
        <w:t xml:space="preserve"> of </w:t>
      </w:r>
      <w:r w:rsidR="0021682B">
        <w:rPr>
          <w:rFonts w:ascii="Times New Roman" w:hAnsi="Times New Roman" w:cs="Times New Roman"/>
          <w:sz w:val="24"/>
          <w:szCs w:val="24"/>
        </w:rPr>
        <w:t>C</w:t>
      </w:r>
      <w:r w:rsidR="00A16705">
        <w:rPr>
          <w:rFonts w:ascii="Times New Roman" w:hAnsi="Times New Roman" w:cs="Times New Roman"/>
          <w:sz w:val="24"/>
          <w:szCs w:val="24"/>
        </w:rPr>
        <w:t>ities</w:t>
      </w:r>
      <w:r w:rsidR="006C0E53">
        <w:rPr>
          <w:rFonts w:ascii="Times New Roman" w:hAnsi="Times New Roman" w:cs="Times New Roman"/>
          <w:sz w:val="24"/>
          <w:szCs w:val="24"/>
        </w:rPr>
        <w:t xml:space="preserve">, </w:t>
      </w:r>
      <w:r w:rsidR="009D7205" w:rsidRPr="003D27D1">
        <w:rPr>
          <w:rFonts w:ascii="Times New Roman" w:hAnsi="Times New Roman" w:cs="Times New Roman"/>
          <w:sz w:val="24"/>
          <w:szCs w:val="24"/>
        </w:rPr>
        <w:t xml:space="preserve">H-E-B LP, </w:t>
      </w:r>
      <w:r w:rsidR="000C0972" w:rsidRPr="003D27D1">
        <w:rPr>
          <w:rFonts w:ascii="Times New Roman" w:hAnsi="Times New Roman" w:cs="Times New Roman"/>
          <w:sz w:val="24"/>
          <w:szCs w:val="24"/>
        </w:rPr>
        <w:t>Texas Industrial Energy Consumers,</w:t>
      </w:r>
      <w:r w:rsidR="009D7205" w:rsidRPr="003D27D1">
        <w:rPr>
          <w:rFonts w:ascii="Times New Roman" w:hAnsi="Times New Roman" w:cs="Times New Roman"/>
          <w:sz w:val="24"/>
          <w:szCs w:val="24"/>
        </w:rPr>
        <w:t xml:space="preserve"> </w:t>
      </w:r>
      <w:r w:rsidR="0021682B">
        <w:rPr>
          <w:rFonts w:ascii="Times New Roman" w:hAnsi="Times New Roman" w:cs="Times New Roman"/>
          <w:sz w:val="24"/>
          <w:szCs w:val="24"/>
        </w:rPr>
        <w:t xml:space="preserve">Alliance for Retail Markets, </w:t>
      </w:r>
      <w:r w:rsidR="00C4041B">
        <w:rPr>
          <w:rFonts w:ascii="Times New Roman" w:hAnsi="Times New Roman" w:cs="Times New Roman"/>
          <w:sz w:val="24"/>
          <w:szCs w:val="24"/>
        </w:rPr>
        <w:t xml:space="preserve">Texas Energy Association for Marketers, and </w:t>
      </w:r>
      <w:r w:rsidR="009D7205" w:rsidRPr="003D27D1">
        <w:rPr>
          <w:rFonts w:ascii="Times New Roman" w:hAnsi="Times New Roman" w:cs="Times New Roman"/>
          <w:sz w:val="24"/>
          <w:szCs w:val="24"/>
        </w:rPr>
        <w:t>Walmart Inc.</w:t>
      </w:r>
      <w:r w:rsidRPr="003D27D1">
        <w:rPr>
          <w:rFonts w:ascii="Times New Roman" w:hAnsi="Times New Roman" w:cs="Times New Roman"/>
          <w:sz w:val="24"/>
          <w:szCs w:val="24"/>
        </w:rPr>
        <w:t xml:space="preserve">. </w:t>
      </w:r>
      <w:r w:rsidR="000C0972" w:rsidRPr="003D27D1">
        <w:rPr>
          <w:rFonts w:ascii="Times New Roman" w:hAnsi="Times New Roman" w:cs="Times New Roman"/>
          <w:sz w:val="24"/>
          <w:szCs w:val="24"/>
        </w:rPr>
        <w:t xml:space="preserve"> </w:t>
      </w:r>
      <w:r w:rsidR="00C4041B">
        <w:rPr>
          <w:rFonts w:ascii="Times New Roman" w:hAnsi="Times New Roman" w:cs="Times New Roman"/>
          <w:sz w:val="24"/>
          <w:szCs w:val="24"/>
        </w:rPr>
        <w:t xml:space="preserve">Texas Competitive Power Advocates, </w:t>
      </w:r>
      <w:r w:rsidR="00686B91" w:rsidRPr="003D27D1">
        <w:rPr>
          <w:rFonts w:ascii="Times New Roman" w:hAnsi="Times New Roman" w:cs="Times New Roman"/>
          <w:sz w:val="24"/>
          <w:szCs w:val="24"/>
        </w:rPr>
        <w:t>Calpine</w:t>
      </w:r>
      <w:r w:rsidR="000C0972" w:rsidRPr="003D27D1">
        <w:rPr>
          <w:rFonts w:ascii="Times New Roman" w:hAnsi="Times New Roman" w:cs="Times New Roman"/>
          <w:sz w:val="24"/>
          <w:szCs w:val="24"/>
        </w:rPr>
        <w:t xml:space="preserve"> Corporation,</w:t>
      </w:r>
      <w:r w:rsidR="0021682B">
        <w:rPr>
          <w:rFonts w:ascii="Times New Roman" w:hAnsi="Times New Roman" w:cs="Times New Roman"/>
          <w:sz w:val="24"/>
          <w:szCs w:val="24"/>
        </w:rPr>
        <w:t xml:space="preserve"> Olin Corporation,</w:t>
      </w:r>
      <w:r w:rsidR="000C0972" w:rsidRPr="003D27D1">
        <w:rPr>
          <w:rFonts w:ascii="Times New Roman" w:hAnsi="Times New Roman" w:cs="Times New Roman"/>
          <w:sz w:val="24"/>
          <w:szCs w:val="24"/>
        </w:rPr>
        <w:t xml:space="preserve"> </w:t>
      </w:r>
      <w:r w:rsidR="00C4041B" w:rsidRPr="0021682B">
        <w:rPr>
          <w:rFonts w:ascii="Times New Roman" w:hAnsi="Times New Roman" w:cs="Times New Roman"/>
          <w:sz w:val="24"/>
          <w:szCs w:val="24"/>
        </w:rPr>
        <w:t>Solar Energy Industries Association</w:t>
      </w:r>
      <w:r w:rsidR="00C4041B">
        <w:rPr>
          <w:rFonts w:ascii="Times New Roman" w:hAnsi="Times New Roman" w:cs="Times New Roman"/>
          <w:sz w:val="24"/>
          <w:szCs w:val="24"/>
        </w:rPr>
        <w:t>,</w:t>
      </w:r>
      <w:r w:rsidR="00C4041B" w:rsidRPr="0021682B">
        <w:rPr>
          <w:rFonts w:ascii="Times New Roman" w:hAnsi="Times New Roman" w:cs="Times New Roman"/>
          <w:sz w:val="24"/>
          <w:szCs w:val="24"/>
        </w:rPr>
        <w:t xml:space="preserve"> Enel X North America, Inc.</w:t>
      </w:r>
      <w:r w:rsidR="00C4041B">
        <w:rPr>
          <w:rFonts w:ascii="Times New Roman" w:hAnsi="Times New Roman" w:cs="Times New Roman"/>
          <w:sz w:val="24"/>
          <w:szCs w:val="24"/>
        </w:rPr>
        <w:t xml:space="preserve">, </w:t>
      </w:r>
      <w:r w:rsidR="000C0972" w:rsidRPr="003D27D1">
        <w:rPr>
          <w:rFonts w:ascii="Times New Roman" w:hAnsi="Times New Roman" w:cs="Times New Roman"/>
          <w:sz w:val="24"/>
          <w:szCs w:val="24"/>
        </w:rPr>
        <w:t>Generation Park Management District</w:t>
      </w:r>
      <w:r w:rsidR="0021682B">
        <w:rPr>
          <w:rFonts w:ascii="Times New Roman" w:hAnsi="Times New Roman" w:cs="Times New Roman"/>
          <w:sz w:val="24"/>
          <w:szCs w:val="24"/>
        </w:rPr>
        <w:t>,</w:t>
      </w:r>
      <w:r w:rsidR="000C0972" w:rsidRPr="003D27D1">
        <w:rPr>
          <w:rFonts w:ascii="Times New Roman" w:hAnsi="Times New Roman" w:cs="Times New Roman"/>
          <w:sz w:val="24"/>
          <w:szCs w:val="24"/>
        </w:rPr>
        <w:t xml:space="preserve"> </w:t>
      </w:r>
      <w:r w:rsidR="00C4041B">
        <w:rPr>
          <w:rFonts w:ascii="Times New Roman" w:hAnsi="Times New Roman" w:cs="Times New Roman"/>
          <w:sz w:val="24"/>
          <w:szCs w:val="24"/>
        </w:rPr>
        <w:t xml:space="preserve">and </w:t>
      </w:r>
      <w:r w:rsidR="000C0972" w:rsidRPr="003D27D1">
        <w:rPr>
          <w:rFonts w:ascii="Times New Roman" w:hAnsi="Times New Roman" w:cs="Times New Roman"/>
          <w:sz w:val="24"/>
          <w:szCs w:val="24"/>
        </w:rPr>
        <w:t xml:space="preserve">McCord Development, Inc. are unopposed to the </w:t>
      </w:r>
      <w:r w:rsidR="00642158" w:rsidRPr="003D27D1">
        <w:rPr>
          <w:rFonts w:ascii="Times New Roman" w:hAnsi="Times New Roman" w:cs="Times New Roman"/>
          <w:sz w:val="24"/>
          <w:szCs w:val="24"/>
        </w:rPr>
        <w:t>settlement a</w:t>
      </w:r>
      <w:r w:rsidR="000C0972" w:rsidRPr="003D27D1">
        <w:rPr>
          <w:rFonts w:ascii="Times New Roman" w:hAnsi="Times New Roman" w:cs="Times New Roman"/>
          <w:sz w:val="24"/>
          <w:szCs w:val="24"/>
        </w:rPr>
        <w:t xml:space="preserve">greement.  </w:t>
      </w:r>
      <w:r w:rsidRPr="003D27D1">
        <w:rPr>
          <w:rFonts w:ascii="Times New Roman" w:hAnsi="Times New Roman" w:cs="Times New Roman"/>
          <w:sz w:val="24"/>
          <w:szCs w:val="24"/>
        </w:rPr>
        <w:t>The Commission approves CenterPoint Houston’s application, as modified by the settlement agreement, to the extent provided in this Order</w:t>
      </w:r>
      <w:r w:rsidR="000C0972" w:rsidRPr="003D27D1">
        <w:rPr>
          <w:rFonts w:ascii="Times New Roman" w:hAnsi="Times New Roman" w:cs="Times New Roman"/>
          <w:sz w:val="24"/>
          <w:szCs w:val="24"/>
        </w:rPr>
        <w:t>.</w:t>
      </w:r>
    </w:p>
    <w:p w14:paraId="1BD5F23F" w14:textId="77777777" w:rsidR="007821C9" w:rsidRPr="003D27D1" w:rsidRDefault="007821C9" w:rsidP="00285C56">
      <w:pPr>
        <w:spacing w:before="120" w:after="120" w:line="360" w:lineRule="auto"/>
        <w:rPr>
          <w:rFonts w:ascii="Times New Roman" w:hAnsi="Times New Roman" w:cs="Times New Roman"/>
          <w:sz w:val="24"/>
          <w:szCs w:val="24"/>
        </w:rPr>
      </w:pPr>
      <w:r w:rsidRPr="003D27D1">
        <w:rPr>
          <w:rFonts w:ascii="Times New Roman" w:hAnsi="Times New Roman" w:cs="Times New Roman"/>
          <w:sz w:val="24"/>
          <w:szCs w:val="24"/>
        </w:rPr>
        <w:tab/>
        <w:t>The Commission adopts the following findings of fact and conclusions of law:</w:t>
      </w:r>
    </w:p>
    <w:p w14:paraId="79BB1DF2" w14:textId="77777777" w:rsidR="007821C9" w:rsidRPr="003D27D1" w:rsidRDefault="007821C9" w:rsidP="001B061E">
      <w:pPr>
        <w:pStyle w:val="ListParagraph"/>
        <w:numPr>
          <w:ilvl w:val="0"/>
          <w:numId w:val="7"/>
        </w:numPr>
        <w:spacing w:before="240" w:after="120" w:line="240" w:lineRule="auto"/>
        <w:ind w:left="0" w:firstLine="0"/>
        <w:contextualSpacing w:val="0"/>
        <w:jc w:val="center"/>
        <w:rPr>
          <w:rFonts w:ascii="Times New Roman" w:hAnsi="Times New Roman" w:cs="Times New Roman"/>
          <w:b/>
          <w:bCs/>
          <w:sz w:val="24"/>
          <w:szCs w:val="24"/>
        </w:rPr>
      </w:pPr>
      <w:r w:rsidRPr="003D27D1">
        <w:rPr>
          <w:rFonts w:ascii="Times New Roman" w:hAnsi="Times New Roman" w:cs="Times New Roman"/>
          <w:b/>
          <w:bCs/>
          <w:sz w:val="24"/>
          <w:szCs w:val="24"/>
        </w:rPr>
        <w:t>Findings of Fact</w:t>
      </w:r>
    </w:p>
    <w:p w14:paraId="1A78BC8F" w14:textId="77777777" w:rsidR="008B0E13" w:rsidRPr="003D27D1" w:rsidRDefault="008B0E13" w:rsidP="00E948BD">
      <w:pPr>
        <w:spacing w:after="0" w:line="360" w:lineRule="auto"/>
        <w:rPr>
          <w:rFonts w:ascii="Times New Roman" w:hAnsi="Times New Roman" w:cs="Times New Roman"/>
          <w:b/>
          <w:bCs/>
          <w:i/>
          <w:iCs/>
          <w:sz w:val="24"/>
          <w:szCs w:val="24"/>
          <w:u w:val="single"/>
        </w:rPr>
      </w:pPr>
      <w:r w:rsidRPr="003D27D1">
        <w:rPr>
          <w:rFonts w:ascii="Times New Roman" w:hAnsi="Times New Roman" w:cs="Times New Roman"/>
          <w:b/>
          <w:bCs/>
          <w:i/>
          <w:iCs/>
          <w:sz w:val="24"/>
          <w:szCs w:val="24"/>
          <w:u w:val="single"/>
        </w:rPr>
        <w:t>Applicant</w:t>
      </w:r>
    </w:p>
    <w:p w14:paraId="3ABB1555" w14:textId="30745B8A" w:rsidR="008B0E13" w:rsidRPr="003D27D1" w:rsidRDefault="00DD275B" w:rsidP="00285C56">
      <w:pPr>
        <w:pStyle w:val="ListParagraph"/>
        <w:numPr>
          <w:ilvl w:val="0"/>
          <w:numId w:val="2"/>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CenterPoint Houston is an investor-owned electric utility within the Electric Reliability Council of Texas (ERCOT) system</w:t>
      </w:r>
      <w:r w:rsidR="00285C56" w:rsidRPr="003D27D1">
        <w:rPr>
          <w:rFonts w:ascii="Times New Roman" w:hAnsi="Times New Roman" w:cs="Times New Roman"/>
          <w:sz w:val="24"/>
          <w:szCs w:val="24"/>
        </w:rPr>
        <w:t>.</w:t>
      </w:r>
      <w:r w:rsidRPr="003D27D1">
        <w:rPr>
          <w:rFonts w:ascii="Times New Roman" w:hAnsi="Times New Roman" w:cs="Times New Roman"/>
          <w:sz w:val="24"/>
          <w:szCs w:val="24"/>
        </w:rPr>
        <w:t xml:space="preserve"> </w:t>
      </w:r>
    </w:p>
    <w:p w14:paraId="5FD239CF" w14:textId="77777777" w:rsidR="00DD275B" w:rsidRPr="003D27D1" w:rsidRDefault="00DD275B" w:rsidP="00285C56">
      <w:pPr>
        <w:pStyle w:val="ListParagraph"/>
        <w:numPr>
          <w:ilvl w:val="0"/>
          <w:numId w:val="2"/>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CenterPoint Houston is a subsidiary of CenterPoint Energy, Inc.</w:t>
      </w:r>
    </w:p>
    <w:p w14:paraId="362E4428" w14:textId="63A2BC98" w:rsidR="008B0E13" w:rsidRPr="003D27D1" w:rsidRDefault="00DD275B" w:rsidP="00FB6C8A">
      <w:pPr>
        <w:pStyle w:val="ListParagraph"/>
        <w:numPr>
          <w:ilvl w:val="0"/>
          <w:numId w:val="2"/>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CenterPoint Houston serves approximately 2.5 million metered customers.</w:t>
      </w:r>
    </w:p>
    <w:p w14:paraId="525B49AC" w14:textId="00F4AB13" w:rsidR="00DD275B" w:rsidRPr="003D27D1" w:rsidRDefault="00DD275B" w:rsidP="00FB6C8A">
      <w:pPr>
        <w:pStyle w:val="ListParagraph"/>
        <w:numPr>
          <w:ilvl w:val="0"/>
          <w:numId w:val="2"/>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CenterPoint Houston’s electric system covers approximately 5,000 square miles located in and around Houston, Texas and is comprised of approximately 58,000 miles of overhead and underground transmission and distribution lines.</w:t>
      </w:r>
    </w:p>
    <w:p w14:paraId="4553BB0A" w14:textId="11F63979" w:rsidR="00DD275B" w:rsidRPr="003D27D1" w:rsidRDefault="00DD275B" w:rsidP="00FB6C8A">
      <w:pPr>
        <w:pStyle w:val="ListParagraph"/>
        <w:numPr>
          <w:ilvl w:val="0"/>
          <w:numId w:val="2"/>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lastRenderedPageBreak/>
        <w:t xml:space="preserve">CenterPoint Houston’s last rate case was filed on June 30, 2010 and docketed as </w:t>
      </w:r>
      <w:r w:rsidRPr="003D27D1">
        <w:rPr>
          <w:rFonts w:ascii="Times New Roman" w:hAnsi="Times New Roman" w:cs="Times New Roman"/>
          <w:i/>
          <w:iCs/>
          <w:sz w:val="24"/>
          <w:szCs w:val="24"/>
        </w:rPr>
        <w:t>Application of CenterPoint Energy Houston Electric LLC for Authority to Change Rates</w:t>
      </w:r>
      <w:r w:rsidRPr="003D27D1">
        <w:rPr>
          <w:rFonts w:ascii="Times New Roman" w:hAnsi="Times New Roman" w:cs="Times New Roman"/>
          <w:sz w:val="24"/>
          <w:szCs w:val="24"/>
        </w:rPr>
        <w:t>, Docket No. 38339, Order on Rehearing, June 23, 2011.</w:t>
      </w:r>
    </w:p>
    <w:p w14:paraId="2B31CE32" w14:textId="77777777" w:rsidR="003978F1" w:rsidRPr="003D27D1" w:rsidRDefault="003978F1" w:rsidP="00E948BD">
      <w:pPr>
        <w:keepNext/>
        <w:spacing w:after="0" w:line="360" w:lineRule="auto"/>
        <w:rPr>
          <w:rFonts w:ascii="Times New Roman" w:hAnsi="Times New Roman" w:cs="Times New Roman"/>
          <w:b/>
          <w:bCs/>
          <w:i/>
          <w:iCs/>
          <w:sz w:val="24"/>
          <w:szCs w:val="24"/>
          <w:u w:val="single"/>
        </w:rPr>
      </w:pPr>
      <w:r w:rsidRPr="003D27D1">
        <w:rPr>
          <w:rFonts w:ascii="Times New Roman" w:hAnsi="Times New Roman" w:cs="Times New Roman"/>
          <w:b/>
          <w:bCs/>
          <w:i/>
          <w:iCs/>
          <w:sz w:val="24"/>
          <w:szCs w:val="24"/>
          <w:u w:val="single"/>
        </w:rPr>
        <w:t>Application</w:t>
      </w:r>
    </w:p>
    <w:p w14:paraId="38788B29" w14:textId="77777777" w:rsidR="00DD275B" w:rsidRPr="003D27D1" w:rsidRDefault="00DD275B" w:rsidP="00FB6C8A">
      <w:pPr>
        <w:pStyle w:val="ListParagraph"/>
        <w:numPr>
          <w:ilvl w:val="0"/>
          <w:numId w:val="2"/>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On April 5, 2019, CenterPoint Houston filed an application and statement of intent to change retail transmission and distribution rates and wholesale transmission rates with an effective date of May 10, 2019.</w:t>
      </w:r>
    </w:p>
    <w:p w14:paraId="49C8AC58" w14:textId="77777777" w:rsidR="00DD275B" w:rsidRPr="003D27D1" w:rsidRDefault="00DD275B" w:rsidP="00FB6C8A">
      <w:pPr>
        <w:pStyle w:val="ListParagraph"/>
        <w:numPr>
          <w:ilvl w:val="0"/>
          <w:numId w:val="2"/>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The applicable test year was the period from January 1, 2018 through December 31, 2018.</w:t>
      </w:r>
    </w:p>
    <w:p w14:paraId="3AB305AC" w14:textId="77777777" w:rsidR="00DD275B" w:rsidRPr="003D27D1" w:rsidRDefault="00DD275B" w:rsidP="00FB6C8A">
      <w:pPr>
        <w:pStyle w:val="ListParagraph"/>
        <w:numPr>
          <w:ilvl w:val="0"/>
          <w:numId w:val="2"/>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CenterPoint Houston initially sought Commission approval to increase transmission and distribution revenues by approximately $161 million, inclusive of Rider UEDIT.  The requested adjustment included a net annual increase in retail transmission and distribution rates of approximately $154.2 million over adjusted test-year revenues.  The requested increase also included an annual increase of approximately $6.8 million for wholesale transmission service.</w:t>
      </w:r>
    </w:p>
    <w:p w14:paraId="310FE417" w14:textId="77777777" w:rsidR="00DD275B" w:rsidRPr="003D27D1" w:rsidRDefault="00DD275B" w:rsidP="00FB6C8A">
      <w:pPr>
        <w:pStyle w:val="ListParagraph"/>
        <w:numPr>
          <w:ilvl w:val="0"/>
          <w:numId w:val="2"/>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The Company also initially proposed the establishment of Rider UEDIT to continue returning to customers approximately $97 million over three years in unprotected excess deferred federal income taxes (EDIT) resulting from the enactment of the legislation referred to as the Tax Cuts and Jobs Act of 2017 (TCJA).</w:t>
      </w:r>
    </w:p>
    <w:p w14:paraId="3880568E" w14:textId="3CFCD278" w:rsidR="00DD275B" w:rsidRPr="003D27D1" w:rsidRDefault="00DD275B" w:rsidP="00FB6C8A">
      <w:pPr>
        <w:pStyle w:val="ListParagraph"/>
        <w:numPr>
          <w:ilvl w:val="0"/>
          <w:numId w:val="2"/>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 xml:space="preserve">As amended by its errata filing, CenterPoint Houston’s application now seeks an </w:t>
      </w:r>
      <w:r w:rsidR="0048000E" w:rsidRPr="003D27D1">
        <w:rPr>
          <w:rFonts w:ascii="Times New Roman" w:hAnsi="Times New Roman" w:cs="Times New Roman"/>
          <w:sz w:val="24"/>
          <w:szCs w:val="24"/>
        </w:rPr>
        <w:t xml:space="preserve">annual </w:t>
      </w:r>
      <w:r w:rsidRPr="003D27D1">
        <w:rPr>
          <w:rFonts w:ascii="Times New Roman" w:hAnsi="Times New Roman" w:cs="Times New Roman"/>
          <w:sz w:val="24"/>
          <w:szCs w:val="24"/>
        </w:rPr>
        <w:t>increase in transmission and distribution revenues by $154.6 million, inclusive of Rider UEDIT. This increase is comprised of a net annual increase in retail transmission and distribution rates of approximately $149.2 million over adjusted test-year revenues and an annual increase of approximately $5.4 million for wholesale transmission service.  Through its errata filing, CenterPoint Houston’s Rider UEDIT would return approximately $119 million to customers over a three-year period.</w:t>
      </w:r>
    </w:p>
    <w:p w14:paraId="4A32723B" w14:textId="77777777" w:rsidR="00DD275B" w:rsidRPr="003D27D1" w:rsidRDefault="00DD275B" w:rsidP="00FB6C8A">
      <w:pPr>
        <w:pStyle w:val="ListParagraph"/>
        <w:numPr>
          <w:ilvl w:val="0"/>
          <w:numId w:val="2"/>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 xml:space="preserve">In addition to the rate increase, CenterPoint Houston requested a prudency determination for all capital investment made between January 1, 2010 and December 31, 2018, approval to establish and recover certain regulatory assets and liabilities, permission to install </w:t>
      </w:r>
      <w:r w:rsidRPr="003D27D1">
        <w:rPr>
          <w:rFonts w:ascii="Times New Roman" w:hAnsi="Times New Roman" w:cs="Times New Roman"/>
          <w:sz w:val="24"/>
          <w:szCs w:val="24"/>
        </w:rPr>
        <w:lastRenderedPageBreak/>
        <w:t>voltage regulation battery assets, approval of new facility extension policies for electric vehicle public charging stations and the recovery of reasonable rate case expenses.</w:t>
      </w:r>
    </w:p>
    <w:p w14:paraId="65A892DA" w14:textId="75D34660" w:rsidR="00BA22E0" w:rsidRPr="003D27D1" w:rsidRDefault="00BA22E0" w:rsidP="00FB6C8A">
      <w:pPr>
        <w:pStyle w:val="ListParagraph"/>
        <w:numPr>
          <w:ilvl w:val="0"/>
          <w:numId w:val="2"/>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No party objected to the sufficiency of the application</w:t>
      </w:r>
      <w:r w:rsidR="007244BC" w:rsidRPr="003D27D1">
        <w:rPr>
          <w:rFonts w:ascii="Times New Roman" w:hAnsi="Times New Roman" w:cs="Times New Roman"/>
          <w:sz w:val="24"/>
          <w:szCs w:val="24"/>
        </w:rPr>
        <w:t>.</w:t>
      </w:r>
    </w:p>
    <w:p w14:paraId="2DC25FF9" w14:textId="4A231B03" w:rsidR="00625C84" w:rsidRPr="003D27D1" w:rsidRDefault="00625C84" w:rsidP="00FB6C8A">
      <w:pPr>
        <w:pStyle w:val="ListParagraph"/>
        <w:numPr>
          <w:ilvl w:val="0"/>
          <w:numId w:val="2"/>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CenterPoint Houston complied with the form and instructions for the Commission’s rate-filing package and the application was administratively complete.</w:t>
      </w:r>
    </w:p>
    <w:p w14:paraId="28C2784C" w14:textId="77777777" w:rsidR="00F7632C" w:rsidRPr="003D27D1" w:rsidRDefault="00F7632C" w:rsidP="00FB6C8A">
      <w:pPr>
        <w:pStyle w:val="ListParagraph"/>
        <w:numPr>
          <w:ilvl w:val="0"/>
          <w:numId w:val="2"/>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Commission Staff participated in this docket.</w:t>
      </w:r>
    </w:p>
    <w:p w14:paraId="22154A12" w14:textId="77777777" w:rsidR="00F7632C" w:rsidRPr="003D27D1" w:rsidRDefault="00F7632C" w:rsidP="00FB6C8A">
      <w:pPr>
        <w:pStyle w:val="ListParagraph"/>
        <w:numPr>
          <w:ilvl w:val="0"/>
          <w:numId w:val="2"/>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In State Office of Administrative Hearings (SOAH) Order No. 2 issued on May 1, 2019, the SOAH ALJs granted intervenor status to the following entities:  Office of Public Utility Counsel (OPUC), City of Houston (COH), Gulf Coast Coalition of Cities (GCCC), Texas Coast Utilities Coalition (TCUC), Texas Industrial Consumers (TIEC), Alliance of Retail Marketers (ARM), and Texas Energy Association for Marketers (TEAM).</w:t>
      </w:r>
    </w:p>
    <w:p w14:paraId="6C10D15E" w14:textId="77777777" w:rsidR="00F7632C" w:rsidRPr="003D27D1" w:rsidRDefault="00F7632C" w:rsidP="00FB6C8A">
      <w:pPr>
        <w:pStyle w:val="ListParagraph"/>
        <w:numPr>
          <w:ilvl w:val="0"/>
          <w:numId w:val="2"/>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In SOAH Order No. 3 issued on May 16, 2019, the SOAH ALJs granted intervenor status to the following entities:  Calpine Corporation, Texas Competitive Power Advocates (TCPA), and Olin Corporation (Olin).</w:t>
      </w:r>
    </w:p>
    <w:p w14:paraId="2B6E88C0" w14:textId="77777777" w:rsidR="00F7632C" w:rsidRPr="003D27D1" w:rsidRDefault="00F7632C" w:rsidP="00FB6C8A">
      <w:pPr>
        <w:pStyle w:val="ListParagraph"/>
        <w:numPr>
          <w:ilvl w:val="0"/>
          <w:numId w:val="2"/>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In SOAH Order No. 6 issued on June 4, 2019, the SOAH ALJs granted intervenor status to the following entities:  McCord Development, Inc. (McCord), Generation Park Management District (GMPD), H-E-B, Enel X North America, Inc. (Enel X), Walmart Inc. (Walmart), Solar Energy Industries Association (SEIA), and Houston Coalition of Cities (HCC).</w:t>
      </w:r>
    </w:p>
    <w:p w14:paraId="53439B12" w14:textId="77777777" w:rsidR="00F7632C" w:rsidRPr="003D27D1" w:rsidRDefault="00F7632C" w:rsidP="001B061E">
      <w:pPr>
        <w:spacing w:before="120" w:after="0" w:line="360" w:lineRule="auto"/>
        <w:rPr>
          <w:rFonts w:ascii="Times New Roman" w:hAnsi="Times New Roman" w:cs="Times New Roman"/>
          <w:b/>
          <w:bCs/>
          <w:i/>
          <w:iCs/>
          <w:sz w:val="24"/>
          <w:szCs w:val="24"/>
          <w:u w:val="single"/>
        </w:rPr>
      </w:pPr>
      <w:r w:rsidRPr="003D27D1">
        <w:rPr>
          <w:rFonts w:ascii="Times New Roman" w:hAnsi="Times New Roman" w:cs="Times New Roman"/>
          <w:b/>
          <w:bCs/>
          <w:i/>
          <w:iCs/>
          <w:sz w:val="24"/>
          <w:szCs w:val="24"/>
          <w:u w:val="single"/>
        </w:rPr>
        <w:t>Appeals of Municipal Ordinances</w:t>
      </w:r>
    </w:p>
    <w:p w14:paraId="2CBF4D67" w14:textId="52A2E508" w:rsidR="00F7632C" w:rsidRPr="003D27D1" w:rsidRDefault="00F7632C" w:rsidP="00EE604E">
      <w:pPr>
        <w:pStyle w:val="ListParagraph"/>
        <w:numPr>
          <w:ilvl w:val="0"/>
          <w:numId w:val="2"/>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CenterPoint Houston timely appealed t</w:t>
      </w:r>
      <w:r w:rsidR="000F7845" w:rsidRPr="003D27D1">
        <w:rPr>
          <w:rFonts w:ascii="Times New Roman" w:hAnsi="Times New Roman" w:cs="Times New Roman"/>
          <w:sz w:val="24"/>
          <w:szCs w:val="24"/>
        </w:rPr>
        <w:t>o the Commission the actions of the following municipalities</w:t>
      </w:r>
      <w:r w:rsidR="00EB3069" w:rsidRPr="003D27D1">
        <w:rPr>
          <w:rFonts w:ascii="Times New Roman" w:hAnsi="Times New Roman" w:cs="Times New Roman"/>
          <w:sz w:val="24"/>
          <w:szCs w:val="24"/>
        </w:rPr>
        <w:t xml:space="preserve"> exercising original jurisdiction with CenterPoint Houston’s service territory: Brookside Village, Clute, Danbury, East Bernard, El Lago, Freeport, Jones Creek, Meadows Place, Oak Ridge North, Oyster Creek, Richmond, Richwood, Sandy Point, </w:t>
      </w:r>
      <w:proofErr w:type="spellStart"/>
      <w:r w:rsidR="00EB3069" w:rsidRPr="003D27D1">
        <w:rPr>
          <w:rFonts w:ascii="Times New Roman" w:hAnsi="Times New Roman" w:cs="Times New Roman"/>
          <w:sz w:val="24"/>
          <w:szCs w:val="24"/>
        </w:rPr>
        <w:t>Shoreacres</w:t>
      </w:r>
      <w:proofErr w:type="spellEnd"/>
      <w:r w:rsidR="00EB3069" w:rsidRPr="003D27D1">
        <w:rPr>
          <w:rFonts w:ascii="Times New Roman" w:hAnsi="Times New Roman" w:cs="Times New Roman"/>
          <w:sz w:val="24"/>
          <w:szCs w:val="24"/>
        </w:rPr>
        <w:t xml:space="preserve">, Simonton, Southside Place, Stafford, Surfside Beach Village, Thompsons, Weston Lakes, Wharton, the Village of </w:t>
      </w:r>
      <w:proofErr w:type="spellStart"/>
      <w:r w:rsidR="00EB3069" w:rsidRPr="003D27D1">
        <w:rPr>
          <w:rFonts w:ascii="Times New Roman" w:hAnsi="Times New Roman" w:cs="Times New Roman"/>
          <w:sz w:val="24"/>
          <w:szCs w:val="24"/>
        </w:rPr>
        <w:t>Fairchilds</w:t>
      </w:r>
      <w:proofErr w:type="spellEnd"/>
      <w:r w:rsidR="00EB3069" w:rsidRPr="003D27D1">
        <w:rPr>
          <w:rFonts w:ascii="Times New Roman" w:hAnsi="Times New Roman" w:cs="Times New Roman"/>
          <w:sz w:val="24"/>
          <w:szCs w:val="24"/>
        </w:rPr>
        <w:t xml:space="preserve">, the Village of Pleak, the Town of Quintana, La Marque, South Houston, Dickinson, Jersey Village, Manvel, Lake Jackson, Deer Park, Rosenburg, Webster, Stafford, Brazos Country, Santa Fe, La Porte, West University Place, Spring Valley Village, Galveston, Hedwig Village, Oak Ridge North, </w:t>
      </w:r>
      <w:r w:rsidR="00EB3069" w:rsidRPr="003D27D1">
        <w:rPr>
          <w:rFonts w:ascii="Times New Roman" w:hAnsi="Times New Roman" w:cs="Times New Roman"/>
          <w:sz w:val="24"/>
          <w:szCs w:val="24"/>
        </w:rPr>
        <w:lastRenderedPageBreak/>
        <w:t>Houston, Alvin, Friendswood, Clear Lake Shores, Pasadena, Sugar Land, Baytown, Missouri City, Freeport, Pearland, West Columbia, Sealy, Clute, League City, Wharton, Beach City, Bellaire, Brookside Village, Bunker Hill Village, Fulshear, Hunter’s Creek, Oyster Creek, Seabrook, Simonton, Taylor Lake Village, Texas City, and Tiki Island.</w:t>
      </w:r>
    </w:p>
    <w:p w14:paraId="779BD704" w14:textId="0FF75B3C" w:rsidR="00F7632C" w:rsidRPr="003D27D1" w:rsidRDefault="00F7632C" w:rsidP="00EE604E">
      <w:pPr>
        <w:pStyle w:val="ListParagraph"/>
        <w:numPr>
          <w:ilvl w:val="0"/>
          <w:numId w:val="2"/>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In SOAH Order No. 7</w:t>
      </w:r>
      <w:r w:rsidR="000F7845" w:rsidRPr="003D27D1">
        <w:rPr>
          <w:rFonts w:ascii="Times New Roman" w:hAnsi="Times New Roman" w:cs="Times New Roman"/>
          <w:sz w:val="24"/>
          <w:szCs w:val="24"/>
        </w:rPr>
        <w:t xml:space="preserve"> and SOAH Order No. 11</w:t>
      </w:r>
      <w:r w:rsidRPr="003D27D1">
        <w:rPr>
          <w:rFonts w:ascii="Times New Roman" w:hAnsi="Times New Roman" w:cs="Times New Roman"/>
          <w:sz w:val="24"/>
          <w:szCs w:val="24"/>
        </w:rPr>
        <w:t>, CenterPoint Houston’s municipal rate appeals were consolidated into this proceeding.</w:t>
      </w:r>
    </w:p>
    <w:p w14:paraId="54873B55" w14:textId="77777777" w:rsidR="00F7632C" w:rsidRPr="003D27D1" w:rsidRDefault="00F7632C" w:rsidP="001B061E">
      <w:pPr>
        <w:spacing w:before="120" w:after="0" w:line="360" w:lineRule="auto"/>
        <w:rPr>
          <w:rFonts w:ascii="Times New Roman" w:hAnsi="Times New Roman" w:cs="Times New Roman"/>
          <w:b/>
          <w:bCs/>
          <w:i/>
          <w:iCs/>
          <w:sz w:val="24"/>
          <w:szCs w:val="24"/>
          <w:u w:val="single"/>
        </w:rPr>
      </w:pPr>
      <w:r w:rsidRPr="003D27D1">
        <w:rPr>
          <w:rFonts w:ascii="Times New Roman" w:hAnsi="Times New Roman" w:cs="Times New Roman"/>
          <w:b/>
          <w:bCs/>
          <w:i/>
          <w:iCs/>
          <w:sz w:val="24"/>
          <w:szCs w:val="24"/>
          <w:u w:val="single"/>
        </w:rPr>
        <w:t>Testimony and Statements of Position</w:t>
      </w:r>
    </w:p>
    <w:p w14:paraId="78ADDE70" w14:textId="77777777" w:rsidR="00F7632C" w:rsidRPr="003D27D1" w:rsidRDefault="00F7632C" w:rsidP="00EE604E">
      <w:pPr>
        <w:pStyle w:val="ListParagraph"/>
        <w:numPr>
          <w:ilvl w:val="0"/>
          <w:numId w:val="2"/>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On April 5, 2019, CenterPoint Houston included in its application the direct testimonies and exhibits of Kenny M. Mercado, Randal M. Pryor, Martin W. Narendorf Jr., Dale Bodden, Julienne P. Sugarek, John R. Hudson, Kristie L. Colvin, Charles W. Pringle, Justin J. Hyland, Michelle M. Townsend, John E. Slanina, Shachella D. James, Rebecca Demarr, Shane Kimzey, Kelly C. Gauger, Diane M. Englet, Lynne Harkel-Rumford, John J. Reed, Timothy S. Lyons, Dane A. Watson, Robert B. Hevert, Robert B. McRae, Gregory S. Wilson, J. Stuart McMenamin, Matthew A. Troxle, and Myles F. Reynolds.</w:t>
      </w:r>
    </w:p>
    <w:p w14:paraId="1CA77A35" w14:textId="77777777" w:rsidR="00F7632C" w:rsidRPr="003D27D1" w:rsidRDefault="00F7632C" w:rsidP="00EE604E">
      <w:pPr>
        <w:pStyle w:val="ListParagraph"/>
        <w:numPr>
          <w:ilvl w:val="0"/>
          <w:numId w:val="2"/>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On June 6, 2019, OPUC filed the direct testimonies and exhibits of June M. Dively, Anjuli Winker, and Karl Nalepa;  COH and HCC jointly filed the direct testimonies and exhibits of Kit Pevoto, Mark E. Garrett, and Scott Norwood; GCCC filed the direct testimony and exhibits of Lane Kollen; TCUC filed the direct testimonies and exhibits of J. Randall Woolridge and David J. Garrett; Walmart filed the direct testimony of Steve W. Chriss;  TIEC filed the direct testimonies and exhibits of Jeffrey Pollock, Billie S. LaConte, Michael P. Gorman, and Charles S. Griffey; and H-E-B filed the direct testimony of George W. Presses.</w:t>
      </w:r>
    </w:p>
    <w:p w14:paraId="2C6057CE" w14:textId="01655CD3" w:rsidR="00F7632C" w:rsidRPr="003D27D1" w:rsidRDefault="00F7632C" w:rsidP="00EE604E">
      <w:pPr>
        <w:pStyle w:val="ListParagraph"/>
        <w:numPr>
          <w:ilvl w:val="0"/>
          <w:numId w:val="2"/>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On June 12, 2019, Staff filed the direct testimony and exhibits of Brian T. Murphy, Reginald J. Tuvilla, William B. Abbott, Mark Filarowicz, Blake P. Ianni, Alicia Maloy, Jorge Ordonez, Tom Sweatman, and Darryl Tietjen.</w:t>
      </w:r>
    </w:p>
    <w:p w14:paraId="5726D1CE" w14:textId="77777777" w:rsidR="00F7632C" w:rsidRPr="003D27D1" w:rsidRDefault="00F7632C" w:rsidP="00EE604E">
      <w:pPr>
        <w:pStyle w:val="ListParagraph"/>
        <w:numPr>
          <w:ilvl w:val="0"/>
          <w:numId w:val="2"/>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 xml:space="preserve">On June 12, 2019, ARM, Calpine, Enel X, GMPD, McCord, SEIA, TCPA and TEAM, each filed, either individually or jointly, a Statement of Position. </w:t>
      </w:r>
    </w:p>
    <w:p w14:paraId="7D3C42B6" w14:textId="77777777" w:rsidR="00F7632C" w:rsidRPr="003D27D1" w:rsidRDefault="00F7632C" w:rsidP="00EE604E">
      <w:pPr>
        <w:pStyle w:val="ListParagraph"/>
        <w:numPr>
          <w:ilvl w:val="0"/>
          <w:numId w:val="2"/>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 xml:space="preserve">On June 19, 2019, CenterPoint Houston filed the rebuttal testimony of Randal M. Pryor, Martin W. Narendorf Jr., Julienne P. Sugarek, John R. Hudson, Kristie L. Colvin, Charles </w:t>
      </w:r>
      <w:r w:rsidRPr="003D27D1">
        <w:rPr>
          <w:rFonts w:ascii="Times New Roman" w:hAnsi="Times New Roman" w:cs="Times New Roman"/>
          <w:sz w:val="24"/>
          <w:szCs w:val="24"/>
        </w:rPr>
        <w:lastRenderedPageBreak/>
        <w:t>W. Pringle, Michelle M. Townsend, Kelly C. Gauger, Lynne Harkel-Rumford, John J. Reed, Dane A. Watson, Robert B. Hevert, Robert B. McRae, J. Stuart McMenamin, Matthew A. Troxle, Jeffrey S. Myerson, Ellen Lapson, and George C. Sanger.</w:t>
      </w:r>
    </w:p>
    <w:p w14:paraId="0430A40F" w14:textId="77777777" w:rsidR="00F7632C" w:rsidRPr="003D27D1" w:rsidRDefault="00F7632C" w:rsidP="00EE604E">
      <w:pPr>
        <w:pStyle w:val="ListParagraph"/>
        <w:numPr>
          <w:ilvl w:val="0"/>
          <w:numId w:val="2"/>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On June 19, 2019, COH and HCC jointly filed the cross-rebuttal testimony of Kit Pevoto; TIEC filed the cross-rebuttal testimony of Jeffrey Pollock; OPUC filed the cross-rebuttal testimony of Karl Nalepa; H-E-B filed the cross-rebuttal testimony of George W. Presses; and Staff filed the cross-rebuttal testimonies of William B. Abbott and Brian T. Murphy.</w:t>
      </w:r>
    </w:p>
    <w:p w14:paraId="343141E7" w14:textId="77777777" w:rsidR="00F7632C" w:rsidRPr="003D27D1" w:rsidRDefault="00F7632C" w:rsidP="00EE604E">
      <w:pPr>
        <w:pStyle w:val="ListParagraph"/>
        <w:numPr>
          <w:ilvl w:val="0"/>
          <w:numId w:val="2"/>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At the hearing on the merits, Staff supplied the supplemental direct testimony of Thomas Sweatman.  The testimony was filed on July 3, 2019.</w:t>
      </w:r>
    </w:p>
    <w:p w14:paraId="60BA156E" w14:textId="2847C998" w:rsidR="00F7632C" w:rsidRPr="003D27D1" w:rsidRDefault="00F7632C" w:rsidP="00E948BD">
      <w:pPr>
        <w:spacing w:after="0" w:line="360" w:lineRule="auto"/>
        <w:rPr>
          <w:rFonts w:ascii="Times New Roman" w:hAnsi="Times New Roman" w:cs="Times New Roman"/>
          <w:b/>
          <w:bCs/>
          <w:i/>
          <w:iCs/>
          <w:sz w:val="24"/>
          <w:szCs w:val="24"/>
          <w:u w:val="single"/>
        </w:rPr>
      </w:pPr>
      <w:r w:rsidRPr="003D27D1">
        <w:rPr>
          <w:rFonts w:ascii="Times New Roman" w:hAnsi="Times New Roman" w:cs="Times New Roman"/>
          <w:b/>
          <w:bCs/>
          <w:i/>
          <w:iCs/>
          <w:sz w:val="24"/>
          <w:szCs w:val="24"/>
          <w:u w:val="single"/>
        </w:rPr>
        <w:t xml:space="preserve">Referral to SOAH </w:t>
      </w:r>
    </w:p>
    <w:p w14:paraId="5079CC36" w14:textId="77777777" w:rsidR="00F7632C" w:rsidRPr="003D27D1" w:rsidRDefault="00F7632C" w:rsidP="00EE604E">
      <w:pPr>
        <w:pStyle w:val="ListParagraph"/>
        <w:numPr>
          <w:ilvl w:val="0"/>
          <w:numId w:val="2"/>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On April 8, 2019, the Commission referred this docket to SOAH and ordered CenterPoint Houston, Commission Staff, and any other interested party to file a list of issues by April 24, 2019.</w:t>
      </w:r>
    </w:p>
    <w:p w14:paraId="5B80E166" w14:textId="77777777" w:rsidR="00F7632C" w:rsidRPr="003D27D1" w:rsidRDefault="00F7632C" w:rsidP="00EE604E">
      <w:pPr>
        <w:pStyle w:val="ListParagraph"/>
        <w:numPr>
          <w:ilvl w:val="0"/>
          <w:numId w:val="2"/>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In SOAH Order No. 1 issued on April 9, 2019, the SOAH ALJs suspended rates until October 7, 2019, and provided notice of a prehearing conference.</w:t>
      </w:r>
    </w:p>
    <w:p w14:paraId="03617096" w14:textId="77777777" w:rsidR="00F7632C" w:rsidRPr="003D27D1" w:rsidRDefault="00F7632C" w:rsidP="00EE604E">
      <w:pPr>
        <w:pStyle w:val="ListParagraph"/>
        <w:numPr>
          <w:ilvl w:val="0"/>
          <w:numId w:val="2"/>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On May 9, 2019, the Commission approved the preliminary order (Preliminary Order) for this docket, setting forth a list of 59 issues to be addressed.  The Preliminary Order stated that the following issues would not be addressed in this proceeding:</w:t>
      </w:r>
    </w:p>
    <w:p w14:paraId="5551565A" w14:textId="77777777" w:rsidR="00F7632C" w:rsidRPr="003D27D1" w:rsidRDefault="00F7632C" w:rsidP="002C18EC">
      <w:pPr>
        <w:pStyle w:val="ListParagraph"/>
        <w:spacing w:after="120" w:line="360" w:lineRule="auto"/>
        <w:ind w:left="1440" w:hanging="720"/>
        <w:contextualSpacing w:val="0"/>
        <w:rPr>
          <w:rFonts w:ascii="Times New Roman" w:hAnsi="Times New Roman" w:cs="Times New Roman"/>
          <w:sz w:val="24"/>
          <w:szCs w:val="24"/>
        </w:rPr>
      </w:pPr>
      <w:r w:rsidRPr="003D27D1">
        <w:rPr>
          <w:rFonts w:ascii="Times New Roman" w:hAnsi="Times New Roman" w:cs="Times New Roman"/>
          <w:sz w:val="24"/>
          <w:szCs w:val="24"/>
        </w:rPr>
        <w:t>a.</w:t>
      </w:r>
      <w:r w:rsidRPr="003D27D1">
        <w:rPr>
          <w:rFonts w:ascii="Times New Roman" w:hAnsi="Times New Roman" w:cs="Times New Roman"/>
          <w:sz w:val="24"/>
          <w:szCs w:val="24"/>
        </w:rPr>
        <w:tab/>
        <w:t>Whether CenterPoint Houston should be permitted to install voltage-regulation battery assets.</w:t>
      </w:r>
    </w:p>
    <w:p w14:paraId="2C6AAB77" w14:textId="77777777" w:rsidR="00F7632C" w:rsidRPr="003D27D1" w:rsidRDefault="00F7632C" w:rsidP="002C18EC">
      <w:pPr>
        <w:pStyle w:val="ListParagraph"/>
        <w:spacing w:after="120" w:line="360" w:lineRule="auto"/>
        <w:ind w:left="1440" w:hanging="720"/>
        <w:contextualSpacing w:val="0"/>
        <w:rPr>
          <w:rFonts w:ascii="Times New Roman" w:hAnsi="Times New Roman" w:cs="Times New Roman"/>
          <w:sz w:val="24"/>
          <w:szCs w:val="24"/>
        </w:rPr>
      </w:pPr>
      <w:r w:rsidRPr="003D27D1">
        <w:rPr>
          <w:rFonts w:ascii="Times New Roman" w:hAnsi="Times New Roman" w:cs="Times New Roman"/>
          <w:sz w:val="24"/>
          <w:szCs w:val="24"/>
        </w:rPr>
        <w:t>b.</w:t>
      </w:r>
      <w:r w:rsidRPr="003D27D1">
        <w:rPr>
          <w:rFonts w:ascii="Times New Roman" w:hAnsi="Times New Roman" w:cs="Times New Roman"/>
          <w:sz w:val="24"/>
          <w:szCs w:val="24"/>
        </w:rPr>
        <w:tab/>
        <w:t>Whether CenterPoint Houston should be permitted to modify its tariff to add an additional allowance for facility extensions to electric charging stations.</w:t>
      </w:r>
    </w:p>
    <w:p w14:paraId="348DE3FC" w14:textId="77777777" w:rsidR="00F7632C" w:rsidRPr="003D27D1" w:rsidRDefault="00F7632C" w:rsidP="00EE604E">
      <w:pPr>
        <w:pStyle w:val="ListParagraph"/>
        <w:numPr>
          <w:ilvl w:val="0"/>
          <w:numId w:val="2"/>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In SOAH Order No. 5 issued on June 4, 2019, the SOAH ALJs granted CenterPoint Houston’s motion to sever issues related to rate case expenses incurred in this docket and other prior dockets.</w:t>
      </w:r>
    </w:p>
    <w:p w14:paraId="5EFC2075" w14:textId="77777777" w:rsidR="00F7632C" w:rsidRPr="003D27D1" w:rsidRDefault="00F7632C" w:rsidP="00EE604E">
      <w:pPr>
        <w:pStyle w:val="ListParagraph"/>
        <w:numPr>
          <w:ilvl w:val="0"/>
          <w:numId w:val="2"/>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 xml:space="preserve">In SOAH Order No. 5 the ALJs established Docket No. 49595, </w:t>
      </w:r>
      <w:r w:rsidRPr="003D27D1">
        <w:rPr>
          <w:rFonts w:ascii="Times New Roman" w:hAnsi="Times New Roman" w:cs="Times New Roman"/>
          <w:i/>
          <w:sz w:val="24"/>
          <w:szCs w:val="24"/>
        </w:rPr>
        <w:t>Review of Rate Case Expenses Incurred by CenterPoint Energy Houston Electric, LLC in Docket Nos. 38339, 45747, 47032, 47364, 48226, and 49421</w:t>
      </w:r>
      <w:r w:rsidRPr="003D27D1">
        <w:rPr>
          <w:rFonts w:ascii="Times New Roman" w:hAnsi="Times New Roman" w:cs="Times New Roman"/>
          <w:sz w:val="24"/>
          <w:szCs w:val="24"/>
        </w:rPr>
        <w:t>.</w:t>
      </w:r>
    </w:p>
    <w:p w14:paraId="10E588E4" w14:textId="77777777" w:rsidR="00F7632C" w:rsidRPr="003D27D1" w:rsidRDefault="00F7632C" w:rsidP="00EE604E">
      <w:pPr>
        <w:pStyle w:val="ListParagraph"/>
        <w:numPr>
          <w:ilvl w:val="0"/>
          <w:numId w:val="2"/>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lastRenderedPageBreak/>
        <w:t>SOAH Order No. 6 held that any party that filed neither direct testimony nor a statement of position by the deadline was subject to being stricken as a party.</w:t>
      </w:r>
    </w:p>
    <w:p w14:paraId="241174B9" w14:textId="77777777" w:rsidR="00F7632C" w:rsidRPr="003D27D1" w:rsidRDefault="00F7632C" w:rsidP="00EE604E">
      <w:pPr>
        <w:pStyle w:val="ListParagraph"/>
        <w:numPr>
          <w:ilvl w:val="0"/>
          <w:numId w:val="2"/>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 xml:space="preserve">On June 24, 2019, the hearing on the merits convened and the hearing was held through June 28, 2019. </w:t>
      </w:r>
    </w:p>
    <w:p w14:paraId="3B10A5E8" w14:textId="677F77FD" w:rsidR="00F7632C" w:rsidRPr="003D27D1" w:rsidRDefault="00F7632C" w:rsidP="00EE604E">
      <w:pPr>
        <w:pStyle w:val="ListParagraph"/>
        <w:numPr>
          <w:ilvl w:val="0"/>
          <w:numId w:val="2"/>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The hearing was presided by ALJs Meaghan Bailey, Steven D. Arnold, and Fernando Rodriguez.</w:t>
      </w:r>
    </w:p>
    <w:p w14:paraId="53387879" w14:textId="77777777" w:rsidR="00F7632C" w:rsidRPr="003D27D1" w:rsidRDefault="00F7632C" w:rsidP="00EE604E">
      <w:pPr>
        <w:pStyle w:val="ListParagraph"/>
        <w:numPr>
          <w:ilvl w:val="0"/>
          <w:numId w:val="2"/>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Olin did not file testimony nor a statement of position.  CenterPoint Houston filed a Motion to Strike all Intervenors Who Failed to File Direct Testimony or a Statement of Position on June 20, 2019.  On June 24, 2019, the ALJs granted the motion and Olin was struck as a party to this proceeding.</w:t>
      </w:r>
    </w:p>
    <w:p w14:paraId="21688A95" w14:textId="77777777" w:rsidR="00F7632C" w:rsidRPr="003D27D1" w:rsidRDefault="00F7632C" w:rsidP="00EE604E">
      <w:pPr>
        <w:pStyle w:val="ListParagraph"/>
        <w:numPr>
          <w:ilvl w:val="0"/>
          <w:numId w:val="2"/>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On July 9, 2019, the parties filed initial post-hearing briefs.</w:t>
      </w:r>
    </w:p>
    <w:p w14:paraId="0A3F8114" w14:textId="77777777" w:rsidR="00F7632C" w:rsidRPr="003D27D1" w:rsidRDefault="00F7632C" w:rsidP="00EE604E">
      <w:pPr>
        <w:pStyle w:val="ListParagraph"/>
        <w:numPr>
          <w:ilvl w:val="0"/>
          <w:numId w:val="2"/>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On July 16, 2019, the parties filed reply briefs and the record was closed.</w:t>
      </w:r>
    </w:p>
    <w:p w14:paraId="7017AC91" w14:textId="650D99EB" w:rsidR="00F7632C" w:rsidRPr="003D27D1" w:rsidRDefault="00F7632C" w:rsidP="001B061E">
      <w:pPr>
        <w:spacing w:before="120" w:after="0" w:line="360" w:lineRule="auto"/>
        <w:rPr>
          <w:rFonts w:ascii="Times New Roman" w:hAnsi="Times New Roman" w:cs="Times New Roman"/>
          <w:b/>
          <w:i/>
          <w:sz w:val="24"/>
          <w:szCs w:val="24"/>
          <w:u w:val="single"/>
        </w:rPr>
      </w:pPr>
      <w:r w:rsidRPr="003D27D1">
        <w:rPr>
          <w:rFonts w:ascii="Times New Roman" w:hAnsi="Times New Roman" w:cs="Times New Roman"/>
          <w:b/>
          <w:i/>
          <w:sz w:val="24"/>
          <w:szCs w:val="24"/>
          <w:u w:val="single"/>
        </w:rPr>
        <w:t xml:space="preserve">Application </w:t>
      </w:r>
    </w:p>
    <w:p w14:paraId="6B317324" w14:textId="77777777" w:rsidR="00F7632C" w:rsidRPr="003D27D1" w:rsidRDefault="00F7632C" w:rsidP="00EE604E">
      <w:pPr>
        <w:pStyle w:val="ListParagraph"/>
        <w:numPr>
          <w:ilvl w:val="0"/>
          <w:numId w:val="2"/>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CenterPoint Houston’s rate filing package was prepared in accordance with the requirements of the Commission including, but not limited to, 16 Texas Administrative Code (TAC) § 25.231, Cost of Service and in accordance with the Transmission &amp; Distribution Investor Owned Utilities Rate Filing Package for Cost-of Service Determination (RFP).</w:t>
      </w:r>
    </w:p>
    <w:p w14:paraId="21EC5599" w14:textId="77777777" w:rsidR="00F7632C" w:rsidRPr="003D27D1" w:rsidRDefault="00F7632C" w:rsidP="00EE604E">
      <w:pPr>
        <w:pStyle w:val="ListParagraph"/>
        <w:numPr>
          <w:ilvl w:val="0"/>
          <w:numId w:val="2"/>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The information provided in the RFP is taken from the Company’s accounts and records as prescribed in the Federal Energy Regulatory Commission (FERC) Electric Uniform System of Accounts (FERC USOA) as required by 16 TAC § 25.72.</w:t>
      </w:r>
    </w:p>
    <w:p w14:paraId="48EE6E5B" w14:textId="77777777" w:rsidR="00F7632C" w:rsidRPr="003D27D1" w:rsidRDefault="00F7632C" w:rsidP="00EE604E">
      <w:pPr>
        <w:pStyle w:val="ListParagraph"/>
        <w:numPr>
          <w:ilvl w:val="0"/>
          <w:numId w:val="2"/>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The workpapers have been appropriately designated, supported and positioned in accordance with RFP General Instruction No. 12, notes a, b, and c.</w:t>
      </w:r>
    </w:p>
    <w:p w14:paraId="3CC0BFD4" w14:textId="77777777" w:rsidR="00F7632C" w:rsidRPr="003D27D1" w:rsidRDefault="00F7632C" w:rsidP="00EE604E">
      <w:pPr>
        <w:pStyle w:val="ListParagraph"/>
        <w:numPr>
          <w:ilvl w:val="0"/>
          <w:numId w:val="2"/>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The information provided in the RFP is based on a historical 12-month test year ending December 31, 2018.</w:t>
      </w:r>
    </w:p>
    <w:p w14:paraId="498BF62A" w14:textId="77777777" w:rsidR="00F7632C" w:rsidRPr="003D27D1" w:rsidRDefault="00F7632C" w:rsidP="001B061E">
      <w:pPr>
        <w:spacing w:before="120" w:after="0" w:line="360" w:lineRule="auto"/>
        <w:rPr>
          <w:rFonts w:ascii="Times New Roman" w:hAnsi="Times New Roman" w:cs="Times New Roman"/>
          <w:b/>
          <w:bCs/>
          <w:i/>
          <w:sz w:val="24"/>
          <w:szCs w:val="24"/>
          <w:u w:val="single"/>
        </w:rPr>
      </w:pPr>
      <w:r w:rsidRPr="003D27D1">
        <w:rPr>
          <w:rFonts w:ascii="Times New Roman" w:hAnsi="Times New Roman" w:cs="Times New Roman"/>
          <w:b/>
          <w:bCs/>
          <w:i/>
          <w:sz w:val="24"/>
          <w:szCs w:val="24"/>
          <w:u w:val="single"/>
        </w:rPr>
        <w:t>Books and Records in Support of the Application</w:t>
      </w:r>
    </w:p>
    <w:p w14:paraId="689D29E1" w14:textId="77777777" w:rsidR="00F7632C" w:rsidRPr="003D27D1" w:rsidRDefault="00F7632C" w:rsidP="00EE604E">
      <w:pPr>
        <w:pStyle w:val="ListParagraph"/>
        <w:numPr>
          <w:ilvl w:val="0"/>
          <w:numId w:val="2"/>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 xml:space="preserve">The books, accounts and records of CenterPoint Houston are maintained in accordance with generally accepted accounting principles (GAAP), follow the FERC USOA as </w:t>
      </w:r>
      <w:r w:rsidRPr="003D27D1">
        <w:rPr>
          <w:rFonts w:ascii="Times New Roman" w:hAnsi="Times New Roman" w:cs="Times New Roman"/>
          <w:sz w:val="24"/>
          <w:szCs w:val="24"/>
        </w:rPr>
        <w:lastRenderedPageBreak/>
        <w:t>required by Commission rules, and are maintained under normal business practices.  The business records were made available to all parties and the summaries thereof submitted as part of the application filed in this case were accurate.</w:t>
      </w:r>
    </w:p>
    <w:p w14:paraId="273DB1EE" w14:textId="55D6B412" w:rsidR="00F7632C" w:rsidRPr="003D27D1" w:rsidRDefault="00F7632C" w:rsidP="001B061E">
      <w:pPr>
        <w:keepNext/>
        <w:spacing w:before="120" w:after="0" w:line="360" w:lineRule="auto"/>
        <w:rPr>
          <w:rFonts w:ascii="Times New Roman" w:hAnsi="Times New Roman" w:cs="Times New Roman"/>
          <w:b/>
          <w:sz w:val="24"/>
          <w:szCs w:val="24"/>
        </w:rPr>
      </w:pPr>
      <w:r w:rsidRPr="003D27D1">
        <w:rPr>
          <w:rFonts w:ascii="Times New Roman" w:hAnsi="Times New Roman" w:cs="Times New Roman"/>
          <w:b/>
          <w:i/>
          <w:sz w:val="24"/>
          <w:szCs w:val="24"/>
          <w:u w:val="single"/>
        </w:rPr>
        <w:t xml:space="preserve">Application is Administratively Complete </w:t>
      </w:r>
    </w:p>
    <w:p w14:paraId="1625EE69" w14:textId="77777777" w:rsidR="00F7632C" w:rsidRPr="003D27D1" w:rsidRDefault="00F7632C" w:rsidP="00EE604E">
      <w:pPr>
        <w:pStyle w:val="ListParagraph"/>
        <w:numPr>
          <w:ilvl w:val="0"/>
          <w:numId w:val="2"/>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No party challenged the adequacy and completeness of the Company’s application and in SOAH Order No. 4, the ALJs found that the Company’s application was deemed sufficient.</w:t>
      </w:r>
    </w:p>
    <w:p w14:paraId="257BFEE6" w14:textId="28C6FF5E" w:rsidR="00F7632C" w:rsidRPr="003D27D1" w:rsidRDefault="00F7632C" w:rsidP="001B061E">
      <w:pPr>
        <w:spacing w:before="120" w:after="0" w:line="360" w:lineRule="auto"/>
        <w:rPr>
          <w:rFonts w:ascii="Times New Roman" w:hAnsi="Times New Roman" w:cs="Times New Roman"/>
          <w:b/>
          <w:i/>
          <w:sz w:val="24"/>
          <w:szCs w:val="24"/>
          <w:u w:val="single"/>
        </w:rPr>
      </w:pPr>
      <w:r w:rsidRPr="003D27D1">
        <w:rPr>
          <w:rFonts w:ascii="Times New Roman" w:hAnsi="Times New Roman" w:cs="Times New Roman"/>
          <w:b/>
          <w:i/>
          <w:sz w:val="24"/>
          <w:szCs w:val="24"/>
          <w:u w:val="single"/>
        </w:rPr>
        <w:t xml:space="preserve">Notice </w:t>
      </w:r>
    </w:p>
    <w:p w14:paraId="78F6F49B" w14:textId="77777777" w:rsidR="00F7632C" w:rsidRPr="003D27D1" w:rsidRDefault="00F7632C" w:rsidP="00EE604E">
      <w:pPr>
        <w:pStyle w:val="ListParagraph"/>
        <w:numPr>
          <w:ilvl w:val="0"/>
          <w:numId w:val="2"/>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Notice was provided as required by PURA §§ 36.102 and 36.103, as well as 16 TAC § 22.51(a).</w:t>
      </w:r>
    </w:p>
    <w:p w14:paraId="2F81DE41" w14:textId="77777777" w:rsidR="00F7632C" w:rsidRPr="003D27D1" w:rsidRDefault="00F7632C" w:rsidP="00EE604E">
      <w:pPr>
        <w:pStyle w:val="ListParagraph"/>
        <w:numPr>
          <w:ilvl w:val="0"/>
          <w:numId w:val="2"/>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CenterPoint Houston served a copy of its statement of intent on each municipality within CenterPoint Houston’s service area and a copy of its petition was provided to each municipality within CenterPoint Houston’s service area with original jurisdiction on March 1, 2019.</w:t>
      </w:r>
    </w:p>
    <w:p w14:paraId="184D6E59" w14:textId="77777777" w:rsidR="00F7632C" w:rsidRPr="003D27D1" w:rsidRDefault="00F7632C" w:rsidP="00EE604E">
      <w:pPr>
        <w:pStyle w:val="ListParagraph"/>
        <w:numPr>
          <w:ilvl w:val="0"/>
          <w:numId w:val="2"/>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 xml:space="preserve">CenterPoint Houston timely served by mail notice of the application to each of the ERCOT wholesale transmission customers on the service list in Commission Staff’s </w:t>
      </w:r>
      <w:r w:rsidRPr="003D27D1">
        <w:rPr>
          <w:rFonts w:ascii="Times New Roman" w:hAnsi="Times New Roman" w:cs="Times New Roman"/>
          <w:i/>
          <w:iCs/>
          <w:sz w:val="24"/>
          <w:szCs w:val="24"/>
        </w:rPr>
        <w:t>Application to Set 2019 Wholesale Transmission Service Charges for the Electric Reliability Council of Texas</w:t>
      </w:r>
      <w:r w:rsidRPr="003D27D1">
        <w:rPr>
          <w:rFonts w:ascii="Times New Roman" w:hAnsi="Times New Roman" w:cs="Times New Roman"/>
          <w:sz w:val="24"/>
          <w:szCs w:val="24"/>
        </w:rPr>
        <w:t>, Docket No. 48928.</w:t>
      </w:r>
    </w:p>
    <w:p w14:paraId="22B91135" w14:textId="77777777" w:rsidR="00F7632C" w:rsidRPr="003D27D1" w:rsidRDefault="00F7632C" w:rsidP="00EE604E">
      <w:pPr>
        <w:pStyle w:val="ListParagraph"/>
        <w:numPr>
          <w:ilvl w:val="0"/>
          <w:numId w:val="2"/>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CenterPoint Houston timely served notice by mail of the application to each retail electric provider (REP) listed on the Commission’s website as of the date on which service was sent.</w:t>
      </w:r>
    </w:p>
    <w:p w14:paraId="1A6AD01A" w14:textId="77777777" w:rsidR="00F7632C" w:rsidRPr="003D27D1" w:rsidRDefault="00F7632C" w:rsidP="00EE604E">
      <w:pPr>
        <w:pStyle w:val="ListParagraph"/>
        <w:numPr>
          <w:ilvl w:val="0"/>
          <w:numId w:val="2"/>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A copy of the Application and RFP was sent to each party that participated in Docket No. 38339 by hand delivery or overnight mail.</w:t>
      </w:r>
    </w:p>
    <w:p w14:paraId="325C9E94" w14:textId="77777777" w:rsidR="00F7632C" w:rsidRPr="003D27D1" w:rsidRDefault="00F7632C" w:rsidP="00EE604E">
      <w:pPr>
        <w:pStyle w:val="ListParagraph"/>
        <w:numPr>
          <w:ilvl w:val="0"/>
          <w:numId w:val="2"/>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On April 16, 2019, a revised notice was mailed to each of the ERCOT wholesale transmission customers on the service list in Docket No. 48928 and to each REP listed on the Commission website.</w:t>
      </w:r>
    </w:p>
    <w:p w14:paraId="739C8F23" w14:textId="77777777" w:rsidR="00F7632C" w:rsidRPr="003D27D1" w:rsidRDefault="00F7632C" w:rsidP="00EE604E">
      <w:pPr>
        <w:pStyle w:val="ListParagraph"/>
        <w:numPr>
          <w:ilvl w:val="0"/>
          <w:numId w:val="2"/>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On May 14, 2019, CenterPoint Houston filed publisher’s affidavits attesting that CenterPoint Houston provided notice by publication once per week for four consecutive weeks on April 18, April 25, May 2, and May 9, 2019.</w:t>
      </w:r>
    </w:p>
    <w:p w14:paraId="328F559A" w14:textId="77777777" w:rsidR="00F7632C" w:rsidRPr="003D27D1" w:rsidRDefault="00F7632C" w:rsidP="00EE604E">
      <w:pPr>
        <w:pStyle w:val="ListParagraph"/>
        <w:numPr>
          <w:ilvl w:val="0"/>
          <w:numId w:val="2"/>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lastRenderedPageBreak/>
        <w:t>On May 14, 2019, CenterPoint Houston filed the affidavit of Alice S. Hart attesting to the completion of the publication of notice as required by 16 TAC § 22.51(a)(1).</w:t>
      </w:r>
    </w:p>
    <w:p w14:paraId="3A3277E4" w14:textId="77777777" w:rsidR="00F7632C" w:rsidRPr="003D27D1" w:rsidRDefault="00F7632C" w:rsidP="00EE604E">
      <w:pPr>
        <w:pStyle w:val="ListParagraph"/>
        <w:numPr>
          <w:ilvl w:val="0"/>
          <w:numId w:val="2"/>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No party challenged the adequacy of the notice provided by CenterPoint Houston and Staff recommended that the ALJs find that the Company’s notice was sufficient.</w:t>
      </w:r>
    </w:p>
    <w:p w14:paraId="33E2A28F" w14:textId="77777777" w:rsidR="00F7632C" w:rsidRPr="003D27D1" w:rsidRDefault="00F7632C" w:rsidP="00EE604E">
      <w:pPr>
        <w:pStyle w:val="ListParagraph"/>
        <w:numPr>
          <w:ilvl w:val="0"/>
          <w:numId w:val="2"/>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In SOAH Order No. 2 issued on May 1, 2019, the SOAH ALJs found CenterPoint Houston’s notice of the application sufficient.</w:t>
      </w:r>
    </w:p>
    <w:p w14:paraId="24A2EDD9" w14:textId="5DAE00F9" w:rsidR="00670E53" w:rsidRPr="003D27D1" w:rsidRDefault="00F7632C" w:rsidP="00EE604E">
      <w:pPr>
        <w:pStyle w:val="ListParagraph"/>
        <w:numPr>
          <w:ilvl w:val="0"/>
          <w:numId w:val="2"/>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Notice of CenterPoint Houston’s application was published once each week for four consecutive weeks in a newspaper having general circulation in each county of CenterPoint Houston’s Texas service area.</w:t>
      </w:r>
    </w:p>
    <w:p w14:paraId="7768280C" w14:textId="34054925" w:rsidR="0048000E" w:rsidRPr="003D27D1" w:rsidRDefault="0048000E" w:rsidP="0048000E">
      <w:pPr>
        <w:spacing w:before="120" w:after="0" w:line="360" w:lineRule="auto"/>
        <w:rPr>
          <w:rFonts w:ascii="Times New Roman" w:hAnsi="Times New Roman" w:cs="Times New Roman"/>
          <w:b/>
          <w:bCs/>
          <w:i/>
          <w:iCs/>
          <w:sz w:val="24"/>
          <w:szCs w:val="24"/>
          <w:u w:val="single"/>
        </w:rPr>
      </w:pPr>
      <w:r w:rsidRPr="003D27D1">
        <w:rPr>
          <w:rFonts w:ascii="Times New Roman" w:hAnsi="Times New Roman" w:cs="Times New Roman"/>
          <w:b/>
          <w:bCs/>
          <w:i/>
          <w:iCs/>
          <w:sz w:val="24"/>
          <w:szCs w:val="24"/>
          <w:u w:val="single"/>
        </w:rPr>
        <w:t>Settlement</w:t>
      </w:r>
    </w:p>
    <w:p w14:paraId="27D6274A" w14:textId="007B2A72" w:rsidR="0048000E" w:rsidRPr="003D27D1" w:rsidRDefault="0048000E" w:rsidP="00EE604E">
      <w:pPr>
        <w:pStyle w:val="ListParagraph"/>
        <w:numPr>
          <w:ilvl w:val="0"/>
          <w:numId w:val="2"/>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On December 13, 2019, CenterPoint Houston filed a letter requesting that the Commission defer further consideration of this docket until its January 16, 2020 Open Meeting in order to permit parties to engage in discussions regarding a possible stipulation addressing the issues in this docket.</w:t>
      </w:r>
    </w:p>
    <w:p w14:paraId="1018177B" w14:textId="3109191D" w:rsidR="0048000E" w:rsidRPr="003D27D1" w:rsidRDefault="0048000E" w:rsidP="00EE604E">
      <w:pPr>
        <w:pStyle w:val="ListParagraph"/>
        <w:numPr>
          <w:ilvl w:val="0"/>
          <w:numId w:val="2"/>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 xml:space="preserve">On January </w:t>
      </w:r>
      <w:r w:rsidR="00880297" w:rsidRPr="00597B43">
        <w:rPr>
          <w:rFonts w:ascii="Times New Roman" w:hAnsi="Times New Roman" w:cs="Times New Roman"/>
          <w:sz w:val="24"/>
          <w:szCs w:val="24"/>
        </w:rPr>
        <w:t>22</w:t>
      </w:r>
      <w:r w:rsidRPr="00597B43">
        <w:rPr>
          <w:rFonts w:ascii="Times New Roman" w:hAnsi="Times New Roman" w:cs="Times New Roman"/>
          <w:sz w:val="24"/>
          <w:szCs w:val="24"/>
        </w:rPr>
        <w:t>,</w:t>
      </w:r>
      <w:r w:rsidRPr="003D27D1">
        <w:rPr>
          <w:rFonts w:ascii="Times New Roman" w:hAnsi="Times New Roman" w:cs="Times New Roman"/>
          <w:sz w:val="24"/>
          <w:szCs w:val="24"/>
        </w:rPr>
        <w:t xml:space="preserve"> 2020, an unopposed stipulation and settlement agreement (Agreement) was filed by CenterPoint Houston.</w:t>
      </w:r>
    </w:p>
    <w:p w14:paraId="54609003" w14:textId="019BFB6A" w:rsidR="0048000E" w:rsidRPr="003D27D1" w:rsidRDefault="00B62854" w:rsidP="00EE604E">
      <w:pPr>
        <w:pStyle w:val="ListParagraph"/>
        <w:numPr>
          <w:ilvl w:val="0"/>
          <w:numId w:val="2"/>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 xml:space="preserve">The </w:t>
      </w:r>
      <w:r w:rsidR="0048000E" w:rsidRPr="003D27D1">
        <w:rPr>
          <w:rFonts w:ascii="Times New Roman" w:hAnsi="Times New Roman" w:cs="Times New Roman"/>
          <w:sz w:val="24"/>
          <w:szCs w:val="24"/>
        </w:rPr>
        <w:t xml:space="preserve">Signatories to the Agreement </w:t>
      </w:r>
      <w:r w:rsidRPr="003D27D1">
        <w:rPr>
          <w:rFonts w:ascii="Times New Roman" w:hAnsi="Times New Roman" w:cs="Times New Roman"/>
          <w:sz w:val="24"/>
          <w:szCs w:val="24"/>
        </w:rPr>
        <w:t xml:space="preserve">are CenterPoint Houston, Staff of the Public Utility Commission of Texas, Office of Public Utility Counsel, </w:t>
      </w:r>
      <w:r w:rsidR="00C4041B">
        <w:rPr>
          <w:rFonts w:ascii="Times New Roman" w:hAnsi="Times New Roman" w:cs="Times New Roman"/>
          <w:sz w:val="24"/>
          <w:szCs w:val="24"/>
        </w:rPr>
        <w:t xml:space="preserve">City of Houston/Houston Coalition of Cities, </w:t>
      </w:r>
      <w:r w:rsidRPr="003D27D1">
        <w:rPr>
          <w:rFonts w:ascii="Times New Roman" w:hAnsi="Times New Roman" w:cs="Times New Roman"/>
          <w:sz w:val="24"/>
          <w:szCs w:val="24"/>
        </w:rPr>
        <w:t xml:space="preserve">Gulf Coast Coalition of Cities, H-E-B LP, Texas Industrial Energy Consumers, </w:t>
      </w:r>
      <w:r w:rsidR="0021682B">
        <w:rPr>
          <w:rFonts w:ascii="Times New Roman" w:hAnsi="Times New Roman" w:cs="Times New Roman"/>
          <w:sz w:val="24"/>
          <w:szCs w:val="24"/>
        </w:rPr>
        <w:t xml:space="preserve">Alliance for Retail Markets, </w:t>
      </w:r>
      <w:r w:rsidR="00C4041B">
        <w:rPr>
          <w:rFonts w:ascii="Times New Roman" w:hAnsi="Times New Roman" w:cs="Times New Roman"/>
          <w:sz w:val="24"/>
          <w:szCs w:val="24"/>
        </w:rPr>
        <w:t xml:space="preserve">Texas Energy Association for Marketers, and </w:t>
      </w:r>
      <w:r w:rsidRPr="003D27D1">
        <w:rPr>
          <w:rFonts w:ascii="Times New Roman" w:hAnsi="Times New Roman" w:cs="Times New Roman"/>
          <w:sz w:val="24"/>
          <w:szCs w:val="24"/>
        </w:rPr>
        <w:t xml:space="preserve">Walmart Inc.  </w:t>
      </w:r>
      <w:r w:rsidR="00C4041B">
        <w:rPr>
          <w:rFonts w:ascii="Times New Roman" w:hAnsi="Times New Roman" w:cs="Times New Roman"/>
          <w:sz w:val="24"/>
          <w:szCs w:val="24"/>
        </w:rPr>
        <w:t xml:space="preserve">Texas Competitive Power Advocates, </w:t>
      </w:r>
      <w:r w:rsidRPr="003D27D1">
        <w:rPr>
          <w:rFonts w:ascii="Times New Roman" w:hAnsi="Times New Roman" w:cs="Times New Roman"/>
          <w:sz w:val="24"/>
          <w:szCs w:val="24"/>
        </w:rPr>
        <w:t xml:space="preserve">Calpine Corporation, </w:t>
      </w:r>
      <w:r w:rsidR="0021682B">
        <w:rPr>
          <w:rFonts w:ascii="Times New Roman" w:hAnsi="Times New Roman" w:cs="Times New Roman"/>
          <w:sz w:val="24"/>
          <w:szCs w:val="24"/>
        </w:rPr>
        <w:t>Olin Corporation,</w:t>
      </w:r>
      <w:r w:rsidR="0021682B" w:rsidRPr="003D27D1">
        <w:rPr>
          <w:rFonts w:ascii="Times New Roman" w:hAnsi="Times New Roman" w:cs="Times New Roman"/>
          <w:sz w:val="24"/>
          <w:szCs w:val="24"/>
        </w:rPr>
        <w:t xml:space="preserve"> </w:t>
      </w:r>
      <w:r w:rsidR="00C4041B" w:rsidRPr="0021682B">
        <w:rPr>
          <w:rFonts w:ascii="Times New Roman" w:hAnsi="Times New Roman" w:cs="Times New Roman"/>
          <w:sz w:val="24"/>
          <w:szCs w:val="24"/>
        </w:rPr>
        <w:t>Solar Energy Industries Association</w:t>
      </w:r>
      <w:r w:rsidR="00C4041B">
        <w:rPr>
          <w:rFonts w:ascii="Times New Roman" w:hAnsi="Times New Roman" w:cs="Times New Roman"/>
          <w:sz w:val="24"/>
          <w:szCs w:val="24"/>
        </w:rPr>
        <w:t>,</w:t>
      </w:r>
      <w:r w:rsidR="00C4041B" w:rsidRPr="0021682B">
        <w:rPr>
          <w:rFonts w:ascii="Times New Roman" w:hAnsi="Times New Roman" w:cs="Times New Roman"/>
          <w:sz w:val="24"/>
          <w:szCs w:val="24"/>
        </w:rPr>
        <w:t xml:space="preserve"> Enel X North America, Inc</w:t>
      </w:r>
      <w:r w:rsidR="00C4041B">
        <w:rPr>
          <w:rFonts w:ascii="Times New Roman" w:hAnsi="Times New Roman" w:cs="Times New Roman"/>
          <w:sz w:val="24"/>
          <w:szCs w:val="24"/>
        </w:rPr>
        <w:t xml:space="preserve">., </w:t>
      </w:r>
      <w:r w:rsidR="0021682B" w:rsidRPr="003D27D1">
        <w:rPr>
          <w:rFonts w:ascii="Times New Roman" w:hAnsi="Times New Roman" w:cs="Times New Roman"/>
          <w:sz w:val="24"/>
          <w:szCs w:val="24"/>
        </w:rPr>
        <w:t>Generation Park Management District</w:t>
      </w:r>
      <w:r w:rsidR="00C4041B">
        <w:rPr>
          <w:rFonts w:ascii="Times New Roman" w:hAnsi="Times New Roman" w:cs="Times New Roman"/>
          <w:sz w:val="24"/>
          <w:szCs w:val="24"/>
        </w:rPr>
        <w:t xml:space="preserve"> and</w:t>
      </w:r>
      <w:r w:rsidR="0021682B" w:rsidRPr="003D27D1">
        <w:rPr>
          <w:rFonts w:ascii="Times New Roman" w:hAnsi="Times New Roman" w:cs="Times New Roman"/>
          <w:sz w:val="24"/>
          <w:szCs w:val="24"/>
        </w:rPr>
        <w:t xml:space="preserve"> McCord Development, </w:t>
      </w:r>
      <w:proofErr w:type="spellStart"/>
      <w:r w:rsidR="0021682B" w:rsidRPr="003D27D1">
        <w:rPr>
          <w:rFonts w:ascii="Times New Roman" w:hAnsi="Times New Roman" w:cs="Times New Roman"/>
          <w:sz w:val="24"/>
          <w:szCs w:val="24"/>
        </w:rPr>
        <w:t>Inc.</w:t>
      </w:r>
      <w:r w:rsidRPr="003D27D1">
        <w:rPr>
          <w:rFonts w:ascii="Times New Roman" w:hAnsi="Times New Roman" w:cs="Times New Roman"/>
          <w:sz w:val="24"/>
          <w:szCs w:val="24"/>
        </w:rPr>
        <w:t>are</w:t>
      </w:r>
      <w:proofErr w:type="spellEnd"/>
      <w:r w:rsidRPr="003D27D1">
        <w:rPr>
          <w:rFonts w:ascii="Times New Roman" w:hAnsi="Times New Roman" w:cs="Times New Roman"/>
          <w:sz w:val="24"/>
          <w:szCs w:val="24"/>
        </w:rPr>
        <w:t xml:space="preserve"> unopposed to the settlement agreement.</w:t>
      </w:r>
    </w:p>
    <w:p w14:paraId="5EE6111F" w14:textId="445BA5A1" w:rsidR="00B62854" w:rsidRPr="003D27D1" w:rsidRDefault="00B62854" w:rsidP="00EE604E">
      <w:pPr>
        <w:pStyle w:val="ListParagraph"/>
        <w:numPr>
          <w:ilvl w:val="0"/>
          <w:numId w:val="2"/>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The Agreement is reasonable and should be approved.</w:t>
      </w:r>
    </w:p>
    <w:p w14:paraId="1A62D0B0" w14:textId="77777777" w:rsidR="007F3A28" w:rsidRPr="003D27D1" w:rsidRDefault="007F3A28" w:rsidP="00AC3020">
      <w:pPr>
        <w:pStyle w:val="ListParagraph"/>
        <w:keepNext/>
        <w:spacing w:before="120" w:after="0" w:line="360" w:lineRule="auto"/>
        <w:ind w:left="0"/>
        <w:contextualSpacing w:val="0"/>
        <w:rPr>
          <w:rFonts w:ascii="Times New Roman" w:hAnsi="Times New Roman" w:cs="Times New Roman"/>
          <w:b/>
          <w:bCs/>
          <w:i/>
          <w:iCs/>
          <w:sz w:val="24"/>
          <w:szCs w:val="24"/>
          <w:u w:val="single"/>
        </w:rPr>
      </w:pPr>
      <w:r w:rsidRPr="003D27D1">
        <w:rPr>
          <w:rFonts w:ascii="Times New Roman" w:hAnsi="Times New Roman" w:cs="Times New Roman"/>
          <w:b/>
          <w:bCs/>
          <w:i/>
          <w:iCs/>
          <w:sz w:val="24"/>
          <w:szCs w:val="24"/>
          <w:u w:val="single"/>
        </w:rPr>
        <w:lastRenderedPageBreak/>
        <w:t>Overall Revenues</w:t>
      </w:r>
    </w:p>
    <w:p w14:paraId="1E13D118" w14:textId="00806772" w:rsidR="00B04D11" w:rsidRPr="003D27D1" w:rsidRDefault="009F43B7" w:rsidP="00EE604E">
      <w:pPr>
        <w:pStyle w:val="ListParagraph"/>
        <w:numPr>
          <w:ilvl w:val="0"/>
          <w:numId w:val="2"/>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 xml:space="preserve">The signatories </w:t>
      </w:r>
      <w:r w:rsidR="00881A8C" w:rsidRPr="003D27D1">
        <w:rPr>
          <w:rFonts w:ascii="Times New Roman" w:hAnsi="Times New Roman" w:cs="Times New Roman"/>
          <w:sz w:val="24"/>
          <w:szCs w:val="24"/>
        </w:rPr>
        <w:t>agreed that CenterPoint Houston’s total base rate revenue requirement should be increased by</w:t>
      </w:r>
      <w:r w:rsidR="00474CD7" w:rsidRPr="003D27D1">
        <w:rPr>
          <w:rFonts w:ascii="Times New Roman" w:hAnsi="Times New Roman" w:cs="Times New Roman"/>
          <w:sz w:val="24"/>
          <w:szCs w:val="24"/>
        </w:rPr>
        <w:t xml:space="preserve"> a “black box” amount of</w:t>
      </w:r>
      <w:r w:rsidR="00881A8C" w:rsidRPr="003D27D1">
        <w:rPr>
          <w:rFonts w:ascii="Times New Roman" w:hAnsi="Times New Roman" w:cs="Times New Roman"/>
          <w:sz w:val="24"/>
          <w:szCs w:val="24"/>
        </w:rPr>
        <w:t xml:space="preserve"> $13 million, as reflected in </w:t>
      </w:r>
      <w:r w:rsidR="00881A8C" w:rsidRPr="00597B43">
        <w:rPr>
          <w:rFonts w:ascii="Times New Roman" w:hAnsi="Times New Roman" w:cs="Times New Roman"/>
          <w:sz w:val="24"/>
          <w:szCs w:val="24"/>
        </w:rPr>
        <w:t>Exhibit A</w:t>
      </w:r>
      <w:r w:rsidR="00881A8C" w:rsidRPr="003D27D1">
        <w:rPr>
          <w:rFonts w:ascii="Times New Roman" w:hAnsi="Times New Roman" w:cs="Times New Roman"/>
          <w:sz w:val="24"/>
          <w:szCs w:val="24"/>
        </w:rPr>
        <w:t xml:space="preserve"> to the settlement agreement.</w:t>
      </w:r>
    </w:p>
    <w:p w14:paraId="087CB5DD" w14:textId="2B779A9E" w:rsidR="00881A8C" w:rsidRPr="003D27D1" w:rsidRDefault="00881A8C" w:rsidP="00EE604E">
      <w:pPr>
        <w:pStyle w:val="ListParagraph"/>
        <w:numPr>
          <w:ilvl w:val="0"/>
          <w:numId w:val="2"/>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 xml:space="preserve">The approved rates shall be effective on March 1, 2020.  </w:t>
      </w:r>
      <w:r w:rsidRPr="00597B43">
        <w:rPr>
          <w:rFonts w:ascii="Times New Roman" w:hAnsi="Times New Roman" w:cs="Times New Roman"/>
          <w:sz w:val="24"/>
          <w:szCs w:val="24"/>
        </w:rPr>
        <w:t xml:space="preserve">[OR If the Commission issues a Final Order on or after February </w:t>
      </w:r>
      <w:r w:rsidR="00761D68" w:rsidRPr="00597B43">
        <w:rPr>
          <w:rFonts w:ascii="Times New Roman" w:hAnsi="Times New Roman" w:cs="Times New Roman"/>
          <w:sz w:val="24"/>
          <w:szCs w:val="24"/>
        </w:rPr>
        <w:t>6</w:t>
      </w:r>
      <w:r w:rsidRPr="00597B43">
        <w:rPr>
          <w:rFonts w:ascii="Times New Roman" w:hAnsi="Times New Roman" w:cs="Times New Roman"/>
          <w:sz w:val="24"/>
          <w:szCs w:val="24"/>
        </w:rPr>
        <w:t>, 2020, then the approved rates will be effective 45 days after the date of the Order.]</w:t>
      </w:r>
    </w:p>
    <w:p w14:paraId="1DE46BAD" w14:textId="77777777" w:rsidR="00FD4A34" w:rsidRPr="003D27D1" w:rsidRDefault="00FD4A34" w:rsidP="00213B12">
      <w:pPr>
        <w:pStyle w:val="ListParagraph"/>
        <w:spacing w:before="120" w:after="0" w:line="360" w:lineRule="auto"/>
        <w:ind w:left="0"/>
        <w:contextualSpacing w:val="0"/>
        <w:rPr>
          <w:rFonts w:ascii="Times New Roman" w:hAnsi="Times New Roman" w:cs="Times New Roman"/>
          <w:b/>
          <w:bCs/>
          <w:i/>
          <w:iCs/>
          <w:sz w:val="24"/>
          <w:szCs w:val="24"/>
          <w:u w:val="single"/>
        </w:rPr>
      </w:pPr>
      <w:r w:rsidRPr="003D27D1">
        <w:rPr>
          <w:rFonts w:ascii="Times New Roman" w:hAnsi="Times New Roman" w:cs="Times New Roman"/>
          <w:b/>
          <w:bCs/>
          <w:i/>
          <w:iCs/>
          <w:sz w:val="24"/>
          <w:szCs w:val="24"/>
          <w:u w:val="single"/>
        </w:rPr>
        <w:t>Return and Capital Structure</w:t>
      </w:r>
    </w:p>
    <w:p w14:paraId="34108E9D" w14:textId="77941499" w:rsidR="000F2647" w:rsidRPr="003D27D1" w:rsidRDefault="00216224" w:rsidP="00EE604E">
      <w:pPr>
        <w:pStyle w:val="ListParagraph"/>
        <w:numPr>
          <w:ilvl w:val="0"/>
          <w:numId w:val="2"/>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 xml:space="preserve">The </w:t>
      </w:r>
      <w:r w:rsidR="00881A8C" w:rsidRPr="003D27D1">
        <w:rPr>
          <w:rFonts w:ascii="Times New Roman" w:hAnsi="Times New Roman" w:cs="Times New Roman"/>
          <w:sz w:val="24"/>
          <w:szCs w:val="24"/>
        </w:rPr>
        <w:t>s</w:t>
      </w:r>
      <w:r w:rsidRPr="003D27D1">
        <w:rPr>
          <w:rFonts w:ascii="Times New Roman" w:hAnsi="Times New Roman" w:cs="Times New Roman"/>
          <w:sz w:val="24"/>
          <w:szCs w:val="24"/>
        </w:rPr>
        <w:t>ignatories agree</w:t>
      </w:r>
      <w:r w:rsidR="00881A8C" w:rsidRPr="003D27D1">
        <w:rPr>
          <w:rFonts w:ascii="Times New Roman" w:hAnsi="Times New Roman" w:cs="Times New Roman"/>
          <w:sz w:val="24"/>
          <w:szCs w:val="24"/>
        </w:rPr>
        <w:t>d</w:t>
      </w:r>
      <w:r w:rsidRPr="003D27D1">
        <w:rPr>
          <w:rFonts w:ascii="Times New Roman" w:hAnsi="Times New Roman" w:cs="Times New Roman"/>
          <w:sz w:val="24"/>
          <w:szCs w:val="24"/>
        </w:rPr>
        <w:t xml:space="preserve"> that b</w:t>
      </w:r>
      <w:r w:rsidR="00FC22FE" w:rsidRPr="003D27D1">
        <w:rPr>
          <w:rFonts w:ascii="Times New Roman" w:hAnsi="Times New Roman" w:cs="Times New Roman"/>
          <w:sz w:val="24"/>
          <w:szCs w:val="24"/>
        </w:rPr>
        <w:t xml:space="preserve">eginning with the effective date of the new rates authorized in this proceeding CenterPoint Houston’s </w:t>
      </w:r>
      <w:r w:rsidR="000F2647" w:rsidRPr="003D27D1">
        <w:rPr>
          <w:rFonts w:ascii="Times New Roman" w:hAnsi="Times New Roman" w:cs="Times New Roman"/>
          <w:sz w:val="24"/>
          <w:szCs w:val="24"/>
        </w:rPr>
        <w:t>weighted average cost of capital (WACC)</w:t>
      </w:r>
      <w:r w:rsidR="00FC22FE" w:rsidRPr="003D27D1">
        <w:rPr>
          <w:rFonts w:ascii="Times New Roman" w:hAnsi="Times New Roman" w:cs="Times New Roman"/>
          <w:sz w:val="24"/>
          <w:szCs w:val="24"/>
        </w:rPr>
        <w:t xml:space="preserve"> shall be 6.51% based upon </w:t>
      </w:r>
      <w:r w:rsidR="00122182">
        <w:rPr>
          <w:rFonts w:ascii="Times New Roman" w:hAnsi="Times New Roman" w:cs="Times New Roman"/>
          <w:sz w:val="24"/>
          <w:szCs w:val="24"/>
        </w:rPr>
        <w:t xml:space="preserve">an </w:t>
      </w:r>
      <w:r w:rsidR="00E01F54">
        <w:rPr>
          <w:rFonts w:ascii="Times New Roman" w:hAnsi="Times New Roman" w:cs="Times New Roman"/>
          <w:sz w:val="24"/>
          <w:szCs w:val="24"/>
        </w:rPr>
        <w:t>as filed</w:t>
      </w:r>
      <w:r w:rsidR="00FC22FE" w:rsidRPr="003D27D1">
        <w:rPr>
          <w:rFonts w:ascii="Times New Roman" w:hAnsi="Times New Roman" w:cs="Times New Roman"/>
          <w:sz w:val="24"/>
          <w:szCs w:val="24"/>
        </w:rPr>
        <w:t xml:space="preserve"> 4.38% </w:t>
      </w:r>
      <w:r w:rsidR="000F2647" w:rsidRPr="003D27D1">
        <w:rPr>
          <w:rFonts w:ascii="Times New Roman" w:hAnsi="Times New Roman" w:cs="Times New Roman"/>
          <w:sz w:val="24"/>
          <w:szCs w:val="24"/>
        </w:rPr>
        <w:t>c</w:t>
      </w:r>
      <w:r w:rsidR="00FC22FE" w:rsidRPr="003D27D1">
        <w:rPr>
          <w:rFonts w:ascii="Times New Roman" w:hAnsi="Times New Roman" w:cs="Times New Roman"/>
          <w:sz w:val="24"/>
          <w:szCs w:val="24"/>
        </w:rPr>
        <w:t xml:space="preserve">ost of </w:t>
      </w:r>
      <w:r w:rsidR="000F2647" w:rsidRPr="003D27D1">
        <w:rPr>
          <w:rFonts w:ascii="Times New Roman" w:hAnsi="Times New Roman" w:cs="Times New Roman"/>
          <w:sz w:val="24"/>
          <w:szCs w:val="24"/>
        </w:rPr>
        <w:t>d</w:t>
      </w:r>
      <w:r w:rsidR="00FC22FE" w:rsidRPr="003D27D1">
        <w:rPr>
          <w:rFonts w:ascii="Times New Roman" w:hAnsi="Times New Roman" w:cs="Times New Roman"/>
          <w:sz w:val="24"/>
          <w:szCs w:val="24"/>
        </w:rPr>
        <w:t xml:space="preserve">ebt, an </w:t>
      </w:r>
      <w:r w:rsidR="00C4041B">
        <w:rPr>
          <w:rFonts w:ascii="Times New Roman" w:hAnsi="Times New Roman" w:cs="Times New Roman"/>
          <w:sz w:val="24"/>
          <w:szCs w:val="24"/>
        </w:rPr>
        <w:t>agreed</w:t>
      </w:r>
      <w:r w:rsidR="00FC22FE" w:rsidRPr="003D27D1">
        <w:rPr>
          <w:rFonts w:ascii="Times New Roman" w:hAnsi="Times New Roman" w:cs="Times New Roman"/>
          <w:sz w:val="24"/>
          <w:szCs w:val="24"/>
        </w:rPr>
        <w:t xml:space="preserve"> </w:t>
      </w:r>
      <w:r w:rsidR="000F2647" w:rsidRPr="003D27D1">
        <w:rPr>
          <w:rFonts w:ascii="Times New Roman" w:hAnsi="Times New Roman" w:cs="Times New Roman"/>
          <w:sz w:val="24"/>
          <w:szCs w:val="24"/>
        </w:rPr>
        <w:t>r</w:t>
      </w:r>
      <w:r w:rsidR="00FC22FE" w:rsidRPr="003D27D1">
        <w:rPr>
          <w:rFonts w:ascii="Times New Roman" w:hAnsi="Times New Roman" w:cs="Times New Roman"/>
          <w:sz w:val="24"/>
          <w:szCs w:val="24"/>
        </w:rPr>
        <w:t xml:space="preserve">eturn on </w:t>
      </w:r>
      <w:r w:rsidR="000F2647" w:rsidRPr="003D27D1">
        <w:rPr>
          <w:rFonts w:ascii="Times New Roman" w:hAnsi="Times New Roman" w:cs="Times New Roman"/>
          <w:sz w:val="24"/>
          <w:szCs w:val="24"/>
        </w:rPr>
        <w:t>e</w:t>
      </w:r>
      <w:r w:rsidR="00FC22FE" w:rsidRPr="003D27D1">
        <w:rPr>
          <w:rFonts w:ascii="Times New Roman" w:hAnsi="Times New Roman" w:cs="Times New Roman"/>
          <w:sz w:val="24"/>
          <w:szCs w:val="24"/>
        </w:rPr>
        <w:t>quity (ROE) of 9.4%, and an a</w:t>
      </w:r>
      <w:r w:rsidR="00C4041B">
        <w:rPr>
          <w:rFonts w:ascii="Times New Roman" w:hAnsi="Times New Roman" w:cs="Times New Roman"/>
          <w:sz w:val="24"/>
          <w:szCs w:val="24"/>
        </w:rPr>
        <w:t>greed</w:t>
      </w:r>
      <w:r w:rsidR="00FC22FE" w:rsidRPr="003D27D1">
        <w:rPr>
          <w:rFonts w:ascii="Times New Roman" w:hAnsi="Times New Roman" w:cs="Times New Roman"/>
          <w:sz w:val="24"/>
          <w:szCs w:val="24"/>
        </w:rPr>
        <w:t xml:space="preserve"> regulatory capital structure of 57.5% long-term debt and 42.5% equity.</w:t>
      </w:r>
    </w:p>
    <w:p w14:paraId="31592FE3" w14:textId="6D934798" w:rsidR="00670E53" w:rsidRPr="003D27D1" w:rsidRDefault="000F2647" w:rsidP="00EE604E">
      <w:pPr>
        <w:pStyle w:val="ListParagraph"/>
        <w:numPr>
          <w:ilvl w:val="0"/>
          <w:numId w:val="2"/>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It is appropriate for CenterPoint Houston to have a weighted average cost of capital of 6.51%, based upon a</w:t>
      </w:r>
      <w:r w:rsidR="00122182">
        <w:rPr>
          <w:rFonts w:ascii="Times New Roman" w:hAnsi="Times New Roman" w:cs="Times New Roman"/>
          <w:sz w:val="24"/>
          <w:szCs w:val="24"/>
        </w:rPr>
        <w:t>n as</w:t>
      </w:r>
      <w:r w:rsidR="00055381">
        <w:rPr>
          <w:rFonts w:ascii="Times New Roman" w:hAnsi="Times New Roman" w:cs="Times New Roman"/>
          <w:sz w:val="24"/>
          <w:szCs w:val="24"/>
        </w:rPr>
        <w:t xml:space="preserve"> filed</w:t>
      </w:r>
      <w:r w:rsidRPr="003D27D1">
        <w:rPr>
          <w:rFonts w:ascii="Times New Roman" w:hAnsi="Times New Roman" w:cs="Times New Roman"/>
          <w:sz w:val="24"/>
          <w:szCs w:val="24"/>
        </w:rPr>
        <w:t xml:space="preserve"> 4.38% cost of debt, an a</w:t>
      </w:r>
      <w:r w:rsidR="00C4041B">
        <w:rPr>
          <w:rFonts w:ascii="Times New Roman" w:hAnsi="Times New Roman" w:cs="Times New Roman"/>
          <w:sz w:val="24"/>
          <w:szCs w:val="24"/>
        </w:rPr>
        <w:t>greed</w:t>
      </w:r>
      <w:r w:rsidRPr="003D27D1">
        <w:rPr>
          <w:rFonts w:ascii="Times New Roman" w:hAnsi="Times New Roman" w:cs="Times New Roman"/>
          <w:sz w:val="24"/>
          <w:szCs w:val="24"/>
        </w:rPr>
        <w:t xml:space="preserve"> return on equity of 9.4%, and an a</w:t>
      </w:r>
      <w:r w:rsidR="00C4041B">
        <w:rPr>
          <w:rFonts w:ascii="Times New Roman" w:hAnsi="Times New Roman" w:cs="Times New Roman"/>
          <w:sz w:val="24"/>
          <w:szCs w:val="24"/>
        </w:rPr>
        <w:t>greed</w:t>
      </w:r>
      <w:r w:rsidRPr="003D27D1">
        <w:rPr>
          <w:rFonts w:ascii="Times New Roman" w:hAnsi="Times New Roman" w:cs="Times New Roman"/>
          <w:sz w:val="24"/>
          <w:szCs w:val="24"/>
        </w:rPr>
        <w:t xml:space="preserve"> regulatory capital structure of 57.5% long-term debt and 42.5% equity.</w:t>
      </w:r>
    </w:p>
    <w:p w14:paraId="1E482A9E" w14:textId="77777777" w:rsidR="00FD4A34" w:rsidRPr="003D27D1" w:rsidRDefault="00FD4A34" w:rsidP="00EE604E">
      <w:pPr>
        <w:pStyle w:val="ListParagraph"/>
        <w:numPr>
          <w:ilvl w:val="0"/>
          <w:numId w:val="2"/>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The signatories agreed that the agreed-upon weighted average cost of capital, cost of debt, return on equity, and capital structure of CenterPoint Houston would apply in all Commission proceeding or Commission filings requiring application of such items.</w:t>
      </w:r>
    </w:p>
    <w:p w14:paraId="4258B126" w14:textId="6AC09CB1" w:rsidR="00FD4A34" w:rsidRPr="003D27D1" w:rsidRDefault="00FD4A34" w:rsidP="00EE604E">
      <w:pPr>
        <w:pStyle w:val="ListParagraph"/>
        <w:numPr>
          <w:ilvl w:val="0"/>
          <w:numId w:val="2"/>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It is appropriate fo</w:t>
      </w:r>
      <w:r w:rsidR="006572FA" w:rsidRPr="003D27D1">
        <w:rPr>
          <w:rFonts w:ascii="Times New Roman" w:hAnsi="Times New Roman" w:cs="Times New Roman"/>
          <w:sz w:val="24"/>
          <w:szCs w:val="24"/>
        </w:rPr>
        <w:t>r</w:t>
      </w:r>
      <w:r w:rsidRPr="003D27D1">
        <w:rPr>
          <w:rFonts w:ascii="Times New Roman" w:hAnsi="Times New Roman" w:cs="Times New Roman"/>
          <w:sz w:val="24"/>
          <w:szCs w:val="24"/>
        </w:rPr>
        <w:t xml:space="preserve"> the agreed-upon weighted average cost of capital, cost of debt, return </w:t>
      </w:r>
      <w:r w:rsidR="006572FA" w:rsidRPr="003D27D1">
        <w:rPr>
          <w:rFonts w:ascii="Times New Roman" w:hAnsi="Times New Roman" w:cs="Times New Roman"/>
          <w:sz w:val="24"/>
          <w:szCs w:val="24"/>
        </w:rPr>
        <w:t>on equity, and capital structure for CenterPoint Houston to apply in all Commission proceedings or Commission filings requiring application of such items.</w:t>
      </w:r>
    </w:p>
    <w:p w14:paraId="7A482B28" w14:textId="2682D7C4" w:rsidR="00B635A8" w:rsidRPr="003D27D1" w:rsidRDefault="00B635A8" w:rsidP="00F53750">
      <w:pPr>
        <w:pStyle w:val="ListParagraph"/>
        <w:keepNext/>
        <w:spacing w:before="120" w:after="0" w:line="360" w:lineRule="auto"/>
        <w:ind w:left="0"/>
        <w:contextualSpacing w:val="0"/>
        <w:rPr>
          <w:rFonts w:ascii="Times New Roman" w:hAnsi="Times New Roman" w:cs="Times New Roman"/>
          <w:b/>
          <w:bCs/>
          <w:i/>
          <w:iCs/>
          <w:sz w:val="24"/>
          <w:szCs w:val="24"/>
          <w:u w:val="single"/>
        </w:rPr>
      </w:pPr>
      <w:r w:rsidRPr="003D27D1">
        <w:rPr>
          <w:rFonts w:ascii="Times New Roman" w:hAnsi="Times New Roman" w:cs="Times New Roman"/>
          <w:b/>
          <w:bCs/>
          <w:i/>
          <w:iCs/>
          <w:sz w:val="24"/>
          <w:szCs w:val="24"/>
          <w:u w:val="single"/>
        </w:rPr>
        <w:t>Future Base Rate Proceeding</w:t>
      </w:r>
    </w:p>
    <w:p w14:paraId="6E1F6E85" w14:textId="462E78DF" w:rsidR="00B635A8" w:rsidRPr="003D27D1" w:rsidRDefault="00B635A8" w:rsidP="00EE604E">
      <w:pPr>
        <w:pStyle w:val="ListParagraph"/>
        <w:numPr>
          <w:ilvl w:val="0"/>
          <w:numId w:val="2"/>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 xml:space="preserve">The signatories agreed that CenterPoint Houston will file a base rate case no later than four years from the date of the Commission’s final order in this docket and will not request a delay of the filing of its next base rate case using the provisions of 16 Texas Administrative Code (TAC) § 25.247(b)(2).  </w:t>
      </w:r>
      <w:r w:rsidR="003A32EE">
        <w:rPr>
          <w:rFonts w:ascii="Times New Roman" w:hAnsi="Times New Roman" w:cs="Times New Roman"/>
          <w:sz w:val="24"/>
          <w:szCs w:val="24"/>
        </w:rPr>
        <w:t>N</w:t>
      </w:r>
      <w:r w:rsidRPr="003D27D1">
        <w:rPr>
          <w:rFonts w:ascii="Times New Roman" w:hAnsi="Times New Roman" w:cs="Times New Roman"/>
          <w:sz w:val="24"/>
          <w:szCs w:val="24"/>
        </w:rPr>
        <w:t>othing shall prohibit CenterPoint Houston from filing, or any regulatory authority from requiring pursuant to applicable law, a base rate case earlier than four years from the date of the Commission’s final order in this docket.</w:t>
      </w:r>
    </w:p>
    <w:p w14:paraId="69DF497C" w14:textId="17E24334" w:rsidR="00B635A8" w:rsidRPr="003D27D1" w:rsidRDefault="00B635A8" w:rsidP="00F53750">
      <w:pPr>
        <w:pStyle w:val="ListParagraph"/>
        <w:spacing w:before="120" w:after="0" w:line="360" w:lineRule="auto"/>
        <w:ind w:left="0"/>
        <w:contextualSpacing w:val="0"/>
        <w:rPr>
          <w:rFonts w:ascii="Times New Roman" w:hAnsi="Times New Roman" w:cs="Times New Roman"/>
          <w:b/>
          <w:bCs/>
          <w:i/>
          <w:iCs/>
          <w:sz w:val="24"/>
          <w:szCs w:val="24"/>
          <w:u w:val="single"/>
        </w:rPr>
      </w:pPr>
      <w:r w:rsidRPr="003D27D1">
        <w:rPr>
          <w:rFonts w:ascii="Times New Roman" w:hAnsi="Times New Roman" w:cs="Times New Roman"/>
          <w:b/>
          <w:bCs/>
          <w:i/>
          <w:iCs/>
          <w:sz w:val="24"/>
          <w:szCs w:val="24"/>
          <w:u w:val="single"/>
        </w:rPr>
        <w:lastRenderedPageBreak/>
        <w:t xml:space="preserve">Distribution Cost Recovery Factor (DCRF) Proceeding  </w:t>
      </w:r>
    </w:p>
    <w:p w14:paraId="0771079F" w14:textId="0C85D0EB" w:rsidR="00B635A8" w:rsidRPr="003D27D1" w:rsidRDefault="00B635A8" w:rsidP="00EE604E">
      <w:pPr>
        <w:pStyle w:val="ListParagraph"/>
        <w:numPr>
          <w:ilvl w:val="0"/>
          <w:numId w:val="2"/>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The signatories agreed that CenterPoint Houston will not file a DCRF proceeding during the 2020 calendar year.</w:t>
      </w:r>
    </w:p>
    <w:p w14:paraId="0C17EA57" w14:textId="494DF2B2" w:rsidR="000F2647" w:rsidRPr="003D27D1" w:rsidRDefault="000F2647" w:rsidP="00EE604E">
      <w:pPr>
        <w:pStyle w:val="ListParagraph"/>
        <w:numPr>
          <w:ilvl w:val="0"/>
          <w:numId w:val="2"/>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The signatories agreed that</w:t>
      </w:r>
      <w:r w:rsidR="00526521" w:rsidRPr="003D27D1">
        <w:rPr>
          <w:rFonts w:ascii="Times New Roman" w:hAnsi="Times New Roman" w:cs="Times New Roman"/>
          <w:sz w:val="24"/>
          <w:szCs w:val="24"/>
        </w:rPr>
        <w:t xml:space="preserve"> in future updates to</w:t>
      </w:r>
      <w:r w:rsidRPr="003D27D1">
        <w:rPr>
          <w:rFonts w:ascii="Times New Roman" w:hAnsi="Times New Roman" w:cs="Times New Roman"/>
          <w:sz w:val="24"/>
          <w:szCs w:val="24"/>
        </w:rPr>
        <w:t xml:space="preserve"> its distribution rate base through future DCRF proceedings, CenterPoint Houston </w:t>
      </w:r>
      <w:r w:rsidR="00526521" w:rsidRPr="003D27D1">
        <w:rPr>
          <w:rFonts w:ascii="Times New Roman" w:hAnsi="Times New Roman" w:cs="Times New Roman"/>
          <w:sz w:val="24"/>
          <w:szCs w:val="24"/>
        </w:rPr>
        <w:t>shal</w:t>
      </w:r>
      <w:r w:rsidRPr="003D27D1">
        <w:rPr>
          <w:rFonts w:ascii="Times New Roman" w:hAnsi="Times New Roman" w:cs="Times New Roman"/>
          <w:sz w:val="24"/>
          <w:szCs w:val="24"/>
        </w:rPr>
        <w:t>l update its distribution rate base to account for the effects of changed accumulated deferred federal income tax (ADFIT) and EDIT regulatory liability balances, in each proceeding requesting an update of its distribution rates.</w:t>
      </w:r>
    </w:p>
    <w:p w14:paraId="50E2185F" w14:textId="202B1CDF" w:rsidR="00B635A8" w:rsidRPr="003D27D1" w:rsidRDefault="00B635A8" w:rsidP="00F53750">
      <w:pPr>
        <w:pStyle w:val="ListParagraph"/>
        <w:spacing w:before="120" w:after="0" w:line="360" w:lineRule="auto"/>
        <w:ind w:left="0"/>
        <w:contextualSpacing w:val="0"/>
        <w:rPr>
          <w:rFonts w:ascii="Times New Roman" w:hAnsi="Times New Roman" w:cs="Times New Roman"/>
          <w:b/>
          <w:bCs/>
          <w:i/>
          <w:iCs/>
          <w:sz w:val="24"/>
          <w:szCs w:val="24"/>
          <w:u w:val="single"/>
        </w:rPr>
      </w:pPr>
      <w:r w:rsidRPr="003D27D1">
        <w:rPr>
          <w:rFonts w:ascii="Times New Roman" w:hAnsi="Times New Roman" w:cs="Times New Roman"/>
          <w:b/>
          <w:bCs/>
          <w:i/>
          <w:iCs/>
          <w:sz w:val="24"/>
          <w:szCs w:val="24"/>
          <w:u w:val="single"/>
        </w:rPr>
        <w:t>Transmission Cost of Service (TCOS) Proceedings</w:t>
      </w:r>
    </w:p>
    <w:p w14:paraId="7A346086" w14:textId="2434466B" w:rsidR="00881A8C" w:rsidRPr="003D27D1" w:rsidRDefault="00B635A8" w:rsidP="00EE604E">
      <w:pPr>
        <w:pStyle w:val="ListParagraph"/>
        <w:numPr>
          <w:ilvl w:val="0"/>
          <w:numId w:val="2"/>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 xml:space="preserve">The signatories agreed that, </w:t>
      </w:r>
      <w:r w:rsidR="00881A8C" w:rsidRPr="003D27D1">
        <w:rPr>
          <w:rFonts w:ascii="Times New Roman" w:hAnsi="Times New Roman" w:cs="Times New Roman"/>
          <w:sz w:val="24"/>
          <w:szCs w:val="24"/>
        </w:rPr>
        <w:t>between the date of the final order in this proceeding and the date of the final order in CenterPoint Houston’s next base rate proceeding, when updating its transmission rate base through TCOS proceedings, CenterPoint Houston will update its transmission rate base to account for the effects of changed ADFIT and EDIT</w:t>
      </w:r>
      <w:r w:rsidR="006E18C1">
        <w:rPr>
          <w:rFonts w:ascii="Times New Roman" w:hAnsi="Times New Roman" w:cs="Times New Roman"/>
          <w:sz w:val="24"/>
          <w:szCs w:val="24"/>
        </w:rPr>
        <w:t xml:space="preserve"> </w:t>
      </w:r>
      <w:r w:rsidR="00881A8C" w:rsidRPr="003D27D1">
        <w:rPr>
          <w:rFonts w:ascii="Times New Roman" w:hAnsi="Times New Roman" w:cs="Times New Roman"/>
          <w:sz w:val="24"/>
          <w:szCs w:val="24"/>
        </w:rPr>
        <w:t>regulatory liability balances, in each proceeding requesting an update of its wholesale transmission rates.</w:t>
      </w:r>
    </w:p>
    <w:p w14:paraId="62C19A65" w14:textId="26736CF3" w:rsidR="00CD4017" w:rsidRPr="003D27D1" w:rsidRDefault="00CD4017" w:rsidP="00F53750">
      <w:pPr>
        <w:pStyle w:val="ListParagraph"/>
        <w:spacing w:before="120" w:after="0" w:line="360" w:lineRule="auto"/>
        <w:ind w:left="0"/>
        <w:contextualSpacing w:val="0"/>
        <w:rPr>
          <w:rFonts w:ascii="Times New Roman" w:hAnsi="Times New Roman" w:cs="Times New Roman"/>
          <w:b/>
          <w:bCs/>
          <w:i/>
          <w:iCs/>
          <w:sz w:val="24"/>
          <w:szCs w:val="24"/>
          <w:u w:val="single"/>
        </w:rPr>
      </w:pPr>
      <w:r w:rsidRPr="003D27D1">
        <w:rPr>
          <w:rFonts w:ascii="Times New Roman" w:hAnsi="Times New Roman" w:cs="Times New Roman"/>
          <w:b/>
          <w:bCs/>
          <w:i/>
          <w:iCs/>
          <w:sz w:val="24"/>
          <w:szCs w:val="24"/>
          <w:u w:val="single"/>
        </w:rPr>
        <w:t xml:space="preserve">Allocation of Revenue </w:t>
      </w:r>
      <w:r w:rsidR="006E25B0">
        <w:rPr>
          <w:rFonts w:ascii="Times New Roman" w:hAnsi="Times New Roman" w:cs="Times New Roman"/>
          <w:b/>
          <w:bCs/>
          <w:i/>
          <w:iCs/>
          <w:sz w:val="24"/>
          <w:szCs w:val="24"/>
          <w:u w:val="single"/>
        </w:rPr>
        <w:t>Requirement</w:t>
      </w:r>
    </w:p>
    <w:p w14:paraId="15965EE2" w14:textId="09A455E8" w:rsidR="00CD4017" w:rsidRPr="003D27D1" w:rsidRDefault="00CD4017" w:rsidP="00EE604E">
      <w:pPr>
        <w:pStyle w:val="ListParagraph"/>
        <w:numPr>
          <w:ilvl w:val="0"/>
          <w:numId w:val="2"/>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 xml:space="preserve">The signatories agreed that the </w:t>
      </w:r>
      <w:r w:rsidR="006E25B0">
        <w:rPr>
          <w:rFonts w:ascii="Times New Roman" w:hAnsi="Times New Roman" w:cs="Times New Roman"/>
          <w:sz w:val="24"/>
          <w:szCs w:val="24"/>
        </w:rPr>
        <w:t xml:space="preserve">revenue requirement, including the </w:t>
      </w:r>
      <w:r w:rsidRPr="003D27D1">
        <w:rPr>
          <w:rFonts w:ascii="Times New Roman" w:hAnsi="Times New Roman" w:cs="Times New Roman"/>
          <w:sz w:val="24"/>
          <w:szCs w:val="24"/>
        </w:rPr>
        <w:t>revenue increase</w:t>
      </w:r>
      <w:r w:rsidR="006E25B0">
        <w:rPr>
          <w:rFonts w:ascii="Times New Roman" w:hAnsi="Times New Roman" w:cs="Times New Roman"/>
          <w:sz w:val="24"/>
          <w:szCs w:val="24"/>
        </w:rPr>
        <w:t>,</w:t>
      </w:r>
      <w:r w:rsidR="0000478A" w:rsidRPr="003D27D1">
        <w:rPr>
          <w:rFonts w:ascii="Times New Roman" w:hAnsi="Times New Roman" w:cs="Times New Roman"/>
          <w:sz w:val="24"/>
          <w:szCs w:val="24"/>
        </w:rPr>
        <w:t xml:space="preserve"> </w:t>
      </w:r>
      <w:r w:rsidRPr="003D27D1">
        <w:rPr>
          <w:rFonts w:ascii="Times New Roman" w:hAnsi="Times New Roman" w:cs="Times New Roman"/>
          <w:sz w:val="24"/>
          <w:szCs w:val="24"/>
        </w:rPr>
        <w:t xml:space="preserve">shall be distributed among customer </w:t>
      </w:r>
      <w:r w:rsidRPr="00C4041B">
        <w:rPr>
          <w:rFonts w:ascii="Times New Roman" w:hAnsi="Times New Roman" w:cs="Times New Roman"/>
          <w:sz w:val="24"/>
          <w:szCs w:val="24"/>
        </w:rPr>
        <w:t xml:space="preserve">classes </w:t>
      </w:r>
      <w:r w:rsidR="00250A76" w:rsidRPr="00250A76">
        <w:rPr>
          <w:rFonts w:ascii="Times New Roman" w:hAnsi="Times New Roman" w:cs="Times New Roman"/>
          <w:sz w:val="24"/>
          <w:szCs w:val="24"/>
        </w:rPr>
        <w:t>per the allocation set forth in Staff’s number run filed on December 5, 2019,</w:t>
      </w:r>
      <w:r w:rsidR="00C4041B" w:rsidRPr="00250A76">
        <w:rPr>
          <w:rFonts w:ascii="Times New Roman" w:hAnsi="Times New Roman" w:cs="Times New Roman"/>
          <w:sz w:val="24"/>
          <w:szCs w:val="24"/>
        </w:rPr>
        <w:t xml:space="preserve"> and</w:t>
      </w:r>
      <w:r w:rsidR="00C4041B" w:rsidRPr="00C4041B">
        <w:rPr>
          <w:rFonts w:ascii="Times New Roman" w:hAnsi="Times New Roman" w:cs="Times New Roman"/>
          <w:sz w:val="24"/>
          <w:szCs w:val="24"/>
        </w:rPr>
        <w:t xml:space="preserve"> </w:t>
      </w:r>
      <w:r w:rsidRPr="003D27D1">
        <w:rPr>
          <w:rFonts w:ascii="Times New Roman" w:hAnsi="Times New Roman" w:cs="Times New Roman"/>
          <w:sz w:val="24"/>
          <w:szCs w:val="24"/>
        </w:rPr>
        <w:t xml:space="preserve">as set forth in Exhibit </w:t>
      </w:r>
      <w:r w:rsidRPr="00597B43">
        <w:rPr>
          <w:rFonts w:ascii="Times New Roman" w:hAnsi="Times New Roman" w:cs="Times New Roman"/>
          <w:sz w:val="24"/>
          <w:szCs w:val="24"/>
        </w:rPr>
        <w:t>B</w:t>
      </w:r>
      <w:r w:rsidRPr="003D27D1">
        <w:rPr>
          <w:rFonts w:ascii="Times New Roman" w:hAnsi="Times New Roman" w:cs="Times New Roman"/>
          <w:sz w:val="24"/>
          <w:szCs w:val="24"/>
        </w:rPr>
        <w:t xml:space="preserve"> to the settlement agreement.</w:t>
      </w:r>
    </w:p>
    <w:p w14:paraId="7D83AC6D" w14:textId="3527800B" w:rsidR="00CD4017" w:rsidRPr="003D27D1" w:rsidRDefault="00CD4017" w:rsidP="00EE604E">
      <w:pPr>
        <w:pStyle w:val="ListParagraph"/>
        <w:numPr>
          <w:ilvl w:val="0"/>
          <w:numId w:val="2"/>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 xml:space="preserve">The allocation of the revenue </w:t>
      </w:r>
      <w:r w:rsidR="006E25B0">
        <w:rPr>
          <w:rFonts w:ascii="Times New Roman" w:hAnsi="Times New Roman" w:cs="Times New Roman"/>
          <w:sz w:val="24"/>
          <w:szCs w:val="24"/>
        </w:rPr>
        <w:t>requirement</w:t>
      </w:r>
      <w:r w:rsidRPr="003D27D1">
        <w:rPr>
          <w:rFonts w:ascii="Times New Roman" w:hAnsi="Times New Roman" w:cs="Times New Roman"/>
          <w:sz w:val="24"/>
          <w:szCs w:val="24"/>
        </w:rPr>
        <w:t xml:space="preserve"> set forth in Exhibit </w:t>
      </w:r>
      <w:r w:rsidRPr="00597B43">
        <w:rPr>
          <w:rFonts w:ascii="Times New Roman" w:hAnsi="Times New Roman" w:cs="Times New Roman"/>
          <w:sz w:val="24"/>
          <w:szCs w:val="24"/>
        </w:rPr>
        <w:t>B</w:t>
      </w:r>
      <w:r w:rsidRPr="003D27D1">
        <w:rPr>
          <w:rFonts w:ascii="Times New Roman" w:hAnsi="Times New Roman" w:cs="Times New Roman"/>
          <w:sz w:val="24"/>
          <w:szCs w:val="24"/>
        </w:rPr>
        <w:t xml:space="preserve"> to the settlement agreement is just and reasonable. </w:t>
      </w:r>
    </w:p>
    <w:p w14:paraId="016344EE" w14:textId="2B588517" w:rsidR="00CD4017" w:rsidRPr="003D27D1" w:rsidRDefault="00CD4017" w:rsidP="00EE604E">
      <w:pPr>
        <w:pStyle w:val="ListParagraph"/>
        <w:numPr>
          <w:ilvl w:val="0"/>
          <w:numId w:val="2"/>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 xml:space="preserve">The signatories agreed that CenterPoint Houston will recover all </w:t>
      </w:r>
      <w:r w:rsidR="003A32EE">
        <w:rPr>
          <w:rFonts w:ascii="Times New Roman" w:hAnsi="Times New Roman" w:cs="Times New Roman"/>
          <w:sz w:val="24"/>
          <w:szCs w:val="24"/>
        </w:rPr>
        <w:t xml:space="preserve">existing and future </w:t>
      </w:r>
      <w:r w:rsidR="006E25B0">
        <w:rPr>
          <w:rFonts w:ascii="Times New Roman" w:hAnsi="Times New Roman" w:cs="Times New Roman"/>
          <w:sz w:val="24"/>
          <w:szCs w:val="24"/>
        </w:rPr>
        <w:t xml:space="preserve">retail </w:t>
      </w:r>
      <w:r w:rsidRPr="003D27D1">
        <w:rPr>
          <w:rFonts w:ascii="Times New Roman" w:hAnsi="Times New Roman" w:cs="Times New Roman"/>
          <w:sz w:val="24"/>
          <w:szCs w:val="24"/>
        </w:rPr>
        <w:t>transmission-related costs through its transmission cost recovery factor (TCRF)</w:t>
      </w:r>
      <w:r w:rsidR="003A32EE">
        <w:rPr>
          <w:rFonts w:ascii="Times New Roman" w:hAnsi="Times New Roman" w:cs="Times New Roman"/>
          <w:sz w:val="24"/>
          <w:szCs w:val="24"/>
        </w:rPr>
        <w:t xml:space="preserve"> instead of through base rates</w:t>
      </w:r>
      <w:r w:rsidRPr="003D27D1">
        <w:rPr>
          <w:rFonts w:ascii="Times New Roman" w:hAnsi="Times New Roman" w:cs="Times New Roman"/>
          <w:sz w:val="24"/>
          <w:szCs w:val="24"/>
        </w:rPr>
        <w:t>.</w:t>
      </w:r>
    </w:p>
    <w:p w14:paraId="271C9A44" w14:textId="03FC7D63" w:rsidR="0000478A" w:rsidRPr="003D27D1" w:rsidRDefault="0000478A" w:rsidP="00F53750">
      <w:pPr>
        <w:pStyle w:val="ListParagraph"/>
        <w:spacing w:before="120" w:after="0" w:line="360" w:lineRule="auto"/>
        <w:ind w:left="0"/>
        <w:contextualSpacing w:val="0"/>
        <w:rPr>
          <w:rFonts w:ascii="Times New Roman" w:hAnsi="Times New Roman" w:cs="Times New Roman"/>
          <w:b/>
          <w:bCs/>
          <w:i/>
          <w:iCs/>
          <w:sz w:val="24"/>
          <w:szCs w:val="24"/>
          <w:u w:val="single"/>
        </w:rPr>
      </w:pPr>
      <w:bookmarkStart w:id="0" w:name="_Hlk27650367"/>
      <w:r w:rsidRPr="003D27D1">
        <w:rPr>
          <w:rFonts w:ascii="Times New Roman" w:hAnsi="Times New Roman" w:cs="Times New Roman"/>
          <w:b/>
          <w:bCs/>
          <w:i/>
          <w:iCs/>
          <w:sz w:val="24"/>
          <w:szCs w:val="24"/>
          <w:u w:val="single"/>
        </w:rPr>
        <w:t>Rate Design and Tariff Approval</w:t>
      </w:r>
      <w:bookmarkEnd w:id="0"/>
    </w:p>
    <w:p w14:paraId="52231655" w14:textId="626F9314" w:rsidR="0000478A" w:rsidRPr="003D27D1" w:rsidRDefault="0000478A" w:rsidP="00EE604E">
      <w:pPr>
        <w:pStyle w:val="ListParagraph"/>
        <w:numPr>
          <w:ilvl w:val="0"/>
          <w:numId w:val="2"/>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 xml:space="preserve">The signatories agreed to use the tariffs and rate design set forth in Exhibit </w:t>
      </w:r>
      <w:r w:rsidRPr="00597B43">
        <w:rPr>
          <w:rFonts w:ascii="Times New Roman" w:hAnsi="Times New Roman" w:cs="Times New Roman"/>
          <w:sz w:val="24"/>
          <w:szCs w:val="24"/>
        </w:rPr>
        <w:t>C</w:t>
      </w:r>
      <w:r w:rsidRPr="003D27D1">
        <w:rPr>
          <w:rFonts w:ascii="Times New Roman" w:hAnsi="Times New Roman" w:cs="Times New Roman"/>
          <w:sz w:val="24"/>
          <w:szCs w:val="24"/>
        </w:rPr>
        <w:t xml:space="preserve"> to the settlement agreement.</w:t>
      </w:r>
    </w:p>
    <w:p w14:paraId="11180B20" w14:textId="243992E4" w:rsidR="0000478A" w:rsidRPr="003D27D1" w:rsidRDefault="0000478A" w:rsidP="00EE604E">
      <w:pPr>
        <w:pStyle w:val="ListParagraph"/>
        <w:numPr>
          <w:ilvl w:val="0"/>
          <w:numId w:val="2"/>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lastRenderedPageBreak/>
        <w:t xml:space="preserve">The tariffs and rate design in Exhibit </w:t>
      </w:r>
      <w:r w:rsidRPr="00597B43">
        <w:rPr>
          <w:rFonts w:ascii="Times New Roman" w:hAnsi="Times New Roman" w:cs="Times New Roman"/>
          <w:sz w:val="24"/>
          <w:szCs w:val="24"/>
        </w:rPr>
        <w:t>C</w:t>
      </w:r>
      <w:r w:rsidRPr="003D27D1">
        <w:rPr>
          <w:rFonts w:ascii="Times New Roman" w:hAnsi="Times New Roman" w:cs="Times New Roman"/>
          <w:sz w:val="24"/>
          <w:szCs w:val="24"/>
        </w:rPr>
        <w:t xml:space="preserve"> to the settlement agreement incorporate the total base revenue increase.</w:t>
      </w:r>
    </w:p>
    <w:p w14:paraId="77C729DE" w14:textId="7D718268" w:rsidR="0000478A" w:rsidRPr="003D27D1" w:rsidRDefault="0000478A" w:rsidP="00EE604E">
      <w:pPr>
        <w:pStyle w:val="ListParagraph"/>
        <w:numPr>
          <w:ilvl w:val="0"/>
          <w:numId w:val="2"/>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 xml:space="preserve">The tariffs and rate design in Exhibit </w:t>
      </w:r>
      <w:r w:rsidRPr="00597B43">
        <w:rPr>
          <w:rFonts w:ascii="Times New Roman" w:hAnsi="Times New Roman" w:cs="Times New Roman"/>
          <w:sz w:val="24"/>
          <w:szCs w:val="24"/>
        </w:rPr>
        <w:t>C</w:t>
      </w:r>
      <w:r w:rsidRPr="003D27D1">
        <w:rPr>
          <w:rFonts w:ascii="Times New Roman" w:hAnsi="Times New Roman" w:cs="Times New Roman"/>
          <w:sz w:val="24"/>
          <w:szCs w:val="24"/>
        </w:rPr>
        <w:t xml:space="preserve"> in the settlement agreement are just and reasonable.</w:t>
      </w:r>
    </w:p>
    <w:p w14:paraId="6070EF7A" w14:textId="72548CFE" w:rsidR="0000478A" w:rsidRPr="003D27D1" w:rsidRDefault="0000478A" w:rsidP="00F53750">
      <w:pPr>
        <w:pStyle w:val="ListParagraph"/>
        <w:spacing w:before="120" w:after="0" w:line="360" w:lineRule="auto"/>
        <w:ind w:left="0"/>
        <w:contextualSpacing w:val="0"/>
        <w:rPr>
          <w:rFonts w:ascii="Times New Roman" w:hAnsi="Times New Roman" w:cs="Times New Roman"/>
          <w:b/>
          <w:bCs/>
          <w:sz w:val="24"/>
          <w:szCs w:val="24"/>
          <w:u w:val="single"/>
        </w:rPr>
      </w:pPr>
      <w:r w:rsidRPr="003D27D1">
        <w:rPr>
          <w:rFonts w:ascii="Times New Roman" w:hAnsi="Times New Roman" w:cs="Times New Roman"/>
          <w:b/>
          <w:bCs/>
          <w:i/>
          <w:iCs/>
          <w:sz w:val="24"/>
          <w:szCs w:val="24"/>
          <w:u w:val="single"/>
        </w:rPr>
        <w:t>Ring-Fencing</w:t>
      </w:r>
    </w:p>
    <w:p w14:paraId="012D8862" w14:textId="6C8CAA30" w:rsidR="00B04296" w:rsidRPr="003D27D1" w:rsidRDefault="00080631" w:rsidP="00EE604E">
      <w:pPr>
        <w:pStyle w:val="ListParagraph"/>
        <w:numPr>
          <w:ilvl w:val="0"/>
          <w:numId w:val="2"/>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 xml:space="preserve">The </w:t>
      </w:r>
      <w:r w:rsidR="000B5889" w:rsidRPr="003D27D1">
        <w:rPr>
          <w:rFonts w:ascii="Times New Roman" w:hAnsi="Times New Roman" w:cs="Times New Roman"/>
          <w:sz w:val="24"/>
          <w:szCs w:val="24"/>
        </w:rPr>
        <w:t>signatories</w:t>
      </w:r>
      <w:r w:rsidRPr="003D27D1">
        <w:rPr>
          <w:rFonts w:ascii="Times New Roman" w:hAnsi="Times New Roman" w:cs="Times New Roman"/>
          <w:sz w:val="24"/>
          <w:szCs w:val="24"/>
        </w:rPr>
        <w:t xml:space="preserve"> agreed t</w:t>
      </w:r>
      <w:r w:rsidR="00B04296" w:rsidRPr="003D27D1">
        <w:rPr>
          <w:rFonts w:ascii="Times New Roman" w:hAnsi="Times New Roman" w:cs="Times New Roman"/>
          <w:sz w:val="24"/>
          <w:szCs w:val="24"/>
        </w:rPr>
        <w:t>o the adoption of</w:t>
      </w:r>
      <w:r w:rsidRPr="003D27D1">
        <w:rPr>
          <w:rFonts w:ascii="Times New Roman" w:hAnsi="Times New Roman" w:cs="Times New Roman"/>
          <w:sz w:val="24"/>
          <w:szCs w:val="24"/>
        </w:rPr>
        <w:t xml:space="preserve"> ring-fencing measures</w:t>
      </w:r>
      <w:r w:rsidR="00B04296" w:rsidRPr="003D27D1">
        <w:rPr>
          <w:rFonts w:ascii="Times New Roman" w:hAnsi="Times New Roman" w:cs="Times New Roman"/>
          <w:sz w:val="24"/>
          <w:szCs w:val="24"/>
        </w:rPr>
        <w:t xml:space="preserve"> </w:t>
      </w:r>
      <w:r w:rsidRPr="003D27D1">
        <w:rPr>
          <w:rFonts w:ascii="Times New Roman" w:hAnsi="Times New Roman" w:cs="Times New Roman"/>
          <w:sz w:val="24"/>
          <w:szCs w:val="24"/>
        </w:rPr>
        <w:t>for CenterPoint Houston</w:t>
      </w:r>
      <w:r w:rsidR="00B04296" w:rsidRPr="003D27D1">
        <w:rPr>
          <w:rFonts w:ascii="Times New Roman" w:hAnsi="Times New Roman" w:cs="Times New Roman"/>
          <w:sz w:val="24"/>
          <w:szCs w:val="24"/>
        </w:rPr>
        <w:t xml:space="preserve"> as set forth in findings of fact </w:t>
      </w:r>
      <w:r w:rsidR="000F2647" w:rsidRPr="00597B43">
        <w:rPr>
          <w:rFonts w:ascii="Times New Roman" w:hAnsi="Times New Roman" w:cs="Times New Roman"/>
          <w:sz w:val="24"/>
          <w:szCs w:val="24"/>
        </w:rPr>
        <w:t>__</w:t>
      </w:r>
      <w:r w:rsidR="00B04296" w:rsidRPr="00597B43">
        <w:rPr>
          <w:rFonts w:ascii="Times New Roman" w:hAnsi="Times New Roman" w:cs="Times New Roman"/>
          <w:sz w:val="24"/>
          <w:szCs w:val="24"/>
        </w:rPr>
        <w:t xml:space="preserve"> through</w:t>
      </w:r>
      <w:r w:rsidR="000F2647" w:rsidRPr="00597B43">
        <w:rPr>
          <w:rFonts w:ascii="Times New Roman" w:hAnsi="Times New Roman" w:cs="Times New Roman"/>
          <w:sz w:val="24"/>
          <w:szCs w:val="24"/>
        </w:rPr>
        <w:t xml:space="preserve"> __</w:t>
      </w:r>
      <w:r w:rsidR="000B5889" w:rsidRPr="003D27D1">
        <w:rPr>
          <w:rFonts w:ascii="Times New Roman" w:hAnsi="Times New Roman" w:cs="Times New Roman"/>
          <w:sz w:val="24"/>
          <w:szCs w:val="24"/>
        </w:rPr>
        <w:t xml:space="preserve"> of this order</w:t>
      </w:r>
      <w:r w:rsidR="00B04296" w:rsidRPr="003D27D1">
        <w:rPr>
          <w:rFonts w:ascii="Times New Roman" w:hAnsi="Times New Roman" w:cs="Times New Roman"/>
          <w:sz w:val="24"/>
          <w:szCs w:val="24"/>
        </w:rPr>
        <w:t xml:space="preserve">. </w:t>
      </w:r>
    </w:p>
    <w:p w14:paraId="35710179" w14:textId="5B8AA8AF" w:rsidR="00B04296" w:rsidRPr="003D27D1" w:rsidRDefault="00B04296" w:rsidP="00EE604E">
      <w:pPr>
        <w:pStyle w:val="ListParagraph"/>
        <w:numPr>
          <w:ilvl w:val="0"/>
          <w:numId w:val="2"/>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CenterPoint Houston’s credit agreements and indentures shall not contain cross-default provisions by which a default by CNP or its other affiliates would cause a default at CenterPoint Houston.</w:t>
      </w:r>
    </w:p>
    <w:p w14:paraId="504299EE" w14:textId="77777777" w:rsidR="00B04296" w:rsidRPr="003D27D1" w:rsidRDefault="00B04296" w:rsidP="00EE604E">
      <w:pPr>
        <w:pStyle w:val="ListParagraph"/>
        <w:numPr>
          <w:ilvl w:val="0"/>
          <w:numId w:val="2"/>
        </w:numPr>
        <w:spacing w:before="120" w:after="0" w:line="360" w:lineRule="auto"/>
        <w:ind w:hanging="720"/>
        <w:contextualSpacing w:val="0"/>
        <w:rPr>
          <w:rFonts w:ascii="Times New Roman" w:hAnsi="Times New Roman" w:cs="Times New Roman"/>
          <w:sz w:val="24"/>
          <w:szCs w:val="24"/>
        </w:rPr>
      </w:pPr>
      <w:bookmarkStart w:id="1" w:name="_Hlk27652329"/>
      <w:bookmarkStart w:id="2" w:name="_Hlk27652319"/>
      <w:r w:rsidRPr="003D27D1">
        <w:rPr>
          <w:rFonts w:ascii="Times New Roman" w:hAnsi="Times New Roman" w:cs="Times New Roman"/>
          <w:sz w:val="24"/>
          <w:szCs w:val="24"/>
        </w:rPr>
        <w:t xml:space="preserve">The financial </w:t>
      </w:r>
      <w:bookmarkStart w:id="3" w:name="_Hlk27652371"/>
      <w:r w:rsidRPr="003D27D1">
        <w:rPr>
          <w:rFonts w:ascii="Times New Roman" w:hAnsi="Times New Roman" w:cs="Times New Roman"/>
          <w:sz w:val="24"/>
          <w:szCs w:val="24"/>
        </w:rPr>
        <w:t>covenant in CenterPoint Houston’s credit agreement shall not be related to any entity other than CenterPoint Houston.  CenterPoint Houston shall not include in its debt or credit agreements any financial covenants or rating-rating agency triggers related to any entity other than CenterPoint Houston.</w:t>
      </w:r>
      <w:bookmarkEnd w:id="1"/>
    </w:p>
    <w:p w14:paraId="0255EEBE" w14:textId="77777777" w:rsidR="00B04296" w:rsidRPr="003D27D1" w:rsidRDefault="00B04296" w:rsidP="00EE604E">
      <w:pPr>
        <w:pStyle w:val="ListParagraph"/>
        <w:numPr>
          <w:ilvl w:val="0"/>
          <w:numId w:val="2"/>
        </w:numPr>
        <w:spacing w:before="120" w:after="0" w:line="360" w:lineRule="auto"/>
        <w:ind w:hanging="720"/>
        <w:contextualSpacing w:val="0"/>
        <w:rPr>
          <w:rFonts w:ascii="Times New Roman" w:hAnsi="Times New Roman" w:cs="Times New Roman"/>
          <w:sz w:val="24"/>
          <w:szCs w:val="24"/>
        </w:rPr>
      </w:pPr>
      <w:bookmarkStart w:id="4" w:name="_Hlk27652341"/>
      <w:bookmarkEnd w:id="2"/>
      <w:bookmarkEnd w:id="3"/>
      <w:r w:rsidRPr="003D27D1">
        <w:rPr>
          <w:rFonts w:ascii="Times New Roman" w:hAnsi="Times New Roman" w:cs="Times New Roman"/>
          <w:sz w:val="24"/>
          <w:szCs w:val="24"/>
        </w:rPr>
        <w:t>CenterPoint Houston shall not pledge its assets in respect of or guaranty any debt or obligation of any of its affiliates.  CenterPoint Houston shall not pledge, mortgage, hypothecate, or grant a lien upon the property of CenterPoint Houston except pursuant to an exception in effect in CenterPoint Houston’s current credit agreement, such as the first mortgage and general mortgage.</w:t>
      </w:r>
    </w:p>
    <w:bookmarkEnd w:id="4"/>
    <w:p w14:paraId="6EE07292" w14:textId="77777777" w:rsidR="00B04296" w:rsidRPr="003D27D1" w:rsidRDefault="00B04296" w:rsidP="00EE604E">
      <w:pPr>
        <w:pStyle w:val="ListParagraph"/>
        <w:numPr>
          <w:ilvl w:val="0"/>
          <w:numId w:val="2"/>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CenterPoint Houston shall maintain its own stand-alone credit facility, and CenterPoint Houston shall not share its credit facility with any regulated or unregulated affiliate.</w:t>
      </w:r>
    </w:p>
    <w:p w14:paraId="3D4530D8" w14:textId="77777777" w:rsidR="00B04296" w:rsidRPr="003D27D1" w:rsidRDefault="00B04296" w:rsidP="00EE604E">
      <w:pPr>
        <w:pStyle w:val="ListParagraph"/>
        <w:numPr>
          <w:ilvl w:val="0"/>
          <w:numId w:val="2"/>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CenterPoint Houston shall maintain registrations with all three ratings agencies.</w:t>
      </w:r>
    </w:p>
    <w:p w14:paraId="2EFE8277" w14:textId="77777777" w:rsidR="00B04296" w:rsidRPr="003D27D1" w:rsidRDefault="00B04296" w:rsidP="00EE604E">
      <w:pPr>
        <w:pStyle w:val="ListParagraph"/>
        <w:numPr>
          <w:ilvl w:val="0"/>
          <w:numId w:val="2"/>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CenterPoint Houston shall maintain a stand-alone credit rating.</w:t>
      </w:r>
    </w:p>
    <w:p w14:paraId="2F331894" w14:textId="77777777" w:rsidR="00B04296" w:rsidRPr="003D27D1" w:rsidRDefault="00B04296" w:rsidP="00EE604E">
      <w:pPr>
        <w:pStyle w:val="ListParagraph"/>
        <w:numPr>
          <w:ilvl w:val="0"/>
          <w:numId w:val="2"/>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CenterPoint Houston’s first mortgage bonds and general mortgage bonds shall be secured only with CenterPoint Houston’s assets.</w:t>
      </w:r>
    </w:p>
    <w:p w14:paraId="17C44628" w14:textId="77777777" w:rsidR="000B5889" w:rsidRPr="003D27D1" w:rsidRDefault="000B5889" w:rsidP="00EE604E">
      <w:pPr>
        <w:pStyle w:val="ListParagraph"/>
        <w:numPr>
          <w:ilvl w:val="0"/>
          <w:numId w:val="2"/>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No CenterPoint Houston assets may be used to secure the debt of CNP or its non-CenterPoint Houston affiliates.</w:t>
      </w:r>
    </w:p>
    <w:p w14:paraId="7B032EE4" w14:textId="77777777" w:rsidR="000B5889" w:rsidRPr="003D27D1" w:rsidRDefault="000B5889" w:rsidP="00EE604E">
      <w:pPr>
        <w:pStyle w:val="ListParagraph"/>
        <w:numPr>
          <w:ilvl w:val="0"/>
          <w:numId w:val="2"/>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 xml:space="preserve">CenterPoint Houston shall not hold out its credit as being available to pay the debt of any affiliates (provided that, for the avoidance of doubt, CenterPoint Houston is not considered </w:t>
      </w:r>
      <w:r w:rsidRPr="003D27D1">
        <w:rPr>
          <w:rFonts w:ascii="Times New Roman" w:hAnsi="Times New Roman" w:cs="Times New Roman"/>
          <w:sz w:val="24"/>
          <w:szCs w:val="24"/>
        </w:rPr>
        <w:lastRenderedPageBreak/>
        <w:t>to be holding its credit out to pay the debt of affiliates, or in breach of any other ring-fencing measure, with respect to the $68 million of CenterPoint Houston general mortgage bonds that currently serve as collateral for certain outstanding CNP pollution control bonds).</w:t>
      </w:r>
    </w:p>
    <w:p w14:paraId="53B3A3D9" w14:textId="77777777" w:rsidR="000B5889" w:rsidRPr="003D27D1" w:rsidRDefault="000B5889" w:rsidP="00EE604E">
      <w:pPr>
        <w:pStyle w:val="ListParagraph"/>
        <w:numPr>
          <w:ilvl w:val="0"/>
          <w:numId w:val="2"/>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Without prior approval of the Commission, neither CNP nor any affiliate of CNP (excluding CenterPoint Houston) may incur, guaranty, or pledge assets in respect of any incremental new debt that is dependent on: (1) the revenues of CenterPoint Houston in more than a proportionate degree than the other revenues of CenterPoint Houston; or (2) the stock of CenterPoint Houston.</w:t>
      </w:r>
    </w:p>
    <w:p w14:paraId="4B53F499" w14:textId="77777777" w:rsidR="000B5889" w:rsidRPr="003D27D1" w:rsidRDefault="000B5889" w:rsidP="00EE604E">
      <w:pPr>
        <w:pStyle w:val="ListParagraph"/>
        <w:numPr>
          <w:ilvl w:val="0"/>
          <w:numId w:val="2"/>
        </w:numPr>
        <w:spacing w:before="120" w:after="0" w:line="360" w:lineRule="auto"/>
        <w:ind w:hanging="720"/>
        <w:contextualSpacing w:val="0"/>
        <w:rPr>
          <w:rFonts w:ascii="Times New Roman" w:hAnsi="Times New Roman" w:cs="Times New Roman"/>
          <w:b/>
          <w:sz w:val="24"/>
          <w:szCs w:val="24"/>
        </w:rPr>
      </w:pPr>
      <w:r w:rsidRPr="003D27D1">
        <w:rPr>
          <w:rFonts w:ascii="Times New Roman" w:hAnsi="Times New Roman" w:cs="Times New Roman"/>
          <w:sz w:val="24"/>
          <w:szCs w:val="24"/>
        </w:rPr>
        <w:t>CenterPoint Houston shall not transfer any material assets or facilities to any affiliates, other than a transfer that is on an arm’s length basis consistent with the Commission’s affiliate standards applicable to CenterPoint Houston.</w:t>
      </w:r>
    </w:p>
    <w:p w14:paraId="7B83D937" w14:textId="77777777" w:rsidR="000B5889" w:rsidRPr="003D27D1" w:rsidRDefault="000B5889" w:rsidP="00EE604E">
      <w:pPr>
        <w:pStyle w:val="ListParagraph"/>
        <w:numPr>
          <w:ilvl w:val="0"/>
          <w:numId w:val="2"/>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Except for its participation in an affiliate money pool, CenterPoint Houston shall not commingle its assets with those of other CNP affiliates.</w:t>
      </w:r>
    </w:p>
    <w:p w14:paraId="5AD6CA02" w14:textId="77777777" w:rsidR="000B5889" w:rsidRPr="003D27D1" w:rsidRDefault="000B5889" w:rsidP="00EE604E">
      <w:pPr>
        <w:pStyle w:val="ListParagraph"/>
        <w:numPr>
          <w:ilvl w:val="0"/>
          <w:numId w:val="2"/>
        </w:numPr>
        <w:spacing w:before="120" w:after="0" w:line="360" w:lineRule="auto"/>
        <w:ind w:hanging="720"/>
        <w:contextualSpacing w:val="0"/>
        <w:rPr>
          <w:rFonts w:ascii="Times New Roman" w:hAnsi="Times New Roman" w:cs="Times New Roman"/>
          <w:b/>
          <w:sz w:val="24"/>
          <w:szCs w:val="24"/>
        </w:rPr>
      </w:pPr>
      <w:r w:rsidRPr="003D27D1">
        <w:rPr>
          <w:rFonts w:ascii="Times New Roman" w:hAnsi="Times New Roman" w:cs="Times New Roman"/>
          <w:sz w:val="24"/>
          <w:szCs w:val="24"/>
        </w:rPr>
        <w:t>Except for its participation in an affiliate money pool, CenterPoint Houston shall not lend money to or borrow money from CNP affiliates.</w:t>
      </w:r>
    </w:p>
    <w:p w14:paraId="5CD292D4" w14:textId="77777777" w:rsidR="000B5889" w:rsidRPr="003D27D1" w:rsidRDefault="000B5889" w:rsidP="00EE604E">
      <w:pPr>
        <w:pStyle w:val="ListParagraph"/>
        <w:numPr>
          <w:ilvl w:val="0"/>
          <w:numId w:val="2"/>
        </w:numPr>
        <w:spacing w:before="120" w:after="0" w:line="360" w:lineRule="auto"/>
        <w:ind w:hanging="720"/>
        <w:contextualSpacing w:val="0"/>
        <w:rPr>
          <w:rFonts w:ascii="Times New Roman" w:hAnsi="Times New Roman" w:cs="Times New Roman"/>
          <w:b/>
          <w:sz w:val="24"/>
          <w:szCs w:val="24"/>
        </w:rPr>
      </w:pPr>
      <w:r w:rsidRPr="003D27D1">
        <w:rPr>
          <w:rFonts w:ascii="Times New Roman" w:hAnsi="Times New Roman" w:cs="Times New Roman"/>
          <w:sz w:val="24"/>
          <w:szCs w:val="24"/>
        </w:rPr>
        <w:t>CenterPoint Houston shall notify the Commission if its credit issuer rating or corporate rating as rated by any of the three major rating agencies falls below investment grade level.</w:t>
      </w:r>
    </w:p>
    <w:p w14:paraId="77B7FF6C" w14:textId="047E3C7C" w:rsidR="00B04296" w:rsidRPr="00597B43" w:rsidRDefault="000B5889" w:rsidP="00EE604E">
      <w:pPr>
        <w:pStyle w:val="ListParagraph"/>
        <w:numPr>
          <w:ilvl w:val="0"/>
          <w:numId w:val="2"/>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Based on the Commission’s review of</w:t>
      </w:r>
      <w:r w:rsidR="00C11276" w:rsidRPr="003D27D1">
        <w:rPr>
          <w:rFonts w:ascii="Times New Roman" w:hAnsi="Times New Roman" w:cs="Times New Roman"/>
          <w:sz w:val="24"/>
          <w:szCs w:val="24"/>
        </w:rPr>
        <w:t xml:space="preserve"> </w:t>
      </w:r>
      <w:r w:rsidR="003A32EE">
        <w:rPr>
          <w:rFonts w:ascii="Times New Roman" w:hAnsi="Times New Roman" w:cs="Times New Roman"/>
          <w:sz w:val="24"/>
          <w:szCs w:val="24"/>
        </w:rPr>
        <w:t>the record</w:t>
      </w:r>
      <w:r w:rsidR="009907E0">
        <w:rPr>
          <w:rFonts w:ascii="Times New Roman" w:hAnsi="Times New Roman" w:cs="Times New Roman"/>
          <w:sz w:val="24"/>
          <w:szCs w:val="24"/>
        </w:rPr>
        <w:t xml:space="preserve"> and the parties’ briefing currently on file with the Commission</w:t>
      </w:r>
      <w:r w:rsidR="00C11276" w:rsidRPr="003D27D1">
        <w:rPr>
          <w:rFonts w:ascii="Times New Roman" w:hAnsi="Times New Roman" w:cs="Times New Roman"/>
          <w:sz w:val="24"/>
          <w:szCs w:val="24"/>
        </w:rPr>
        <w:t>, the Commission finds that a dividend restriction [</w:t>
      </w:r>
      <w:r w:rsidR="00C11276" w:rsidRPr="00597B43">
        <w:rPr>
          <w:rFonts w:ascii="Times New Roman" w:hAnsi="Times New Roman" w:cs="Times New Roman"/>
          <w:sz w:val="24"/>
          <w:szCs w:val="24"/>
        </w:rPr>
        <w:t>should/should not] be adopted.</w:t>
      </w:r>
    </w:p>
    <w:p w14:paraId="2D2B6FF2" w14:textId="136BF977" w:rsidR="00C11276" w:rsidRPr="00597B43" w:rsidRDefault="00C11276" w:rsidP="00EE604E">
      <w:pPr>
        <w:pStyle w:val="ListParagraph"/>
        <w:numPr>
          <w:ilvl w:val="0"/>
          <w:numId w:val="2"/>
        </w:numPr>
        <w:spacing w:before="120" w:after="0" w:line="360" w:lineRule="auto"/>
        <w:ind w:hanging="720"/>
        <w:contextualSpacing w:val="0"/>
        <w:rPr>
          <w:rFonts w:ascii="Times New Roman" w:hAnsi="Times New Roman" w:cs="Times New Roman"/>
          <w:sz w:val="24"/>
          <w:szCs w:val="24"/>
        </w:rPr>
      </w:pPr>
      <w:r w:rsidRPr="00597B43">
        <w:rPr>
          <w:rFonts w:ascii="Times New Roman" w:hAnsi="Times New Roman" w:cs="Times New Roman"/>
          <w:sz w:val="24"/>
          <w:szCs w:val="24"/>
        </w:rPr>
        <w:t>[Description of dividend restriction</w:t>
      </w:r>
      <w:r w:rsidR="00B62854" w:rsidRPr="00597B43">
        <w:rPr>
          <w:rFonts w:ascii="Times New Roman" w:hAnsi="Times New Roman" w:cs="Times New Roman"/>
          <w:sz w:val="24"/>
          <w:szCs w:val="24"/>
        </w:rPr>
        <w:t>, if</w:t>
      </w:r>
      <w:r w:rsidRPr="00597B43">
        <w:rPr>
          <w:rFonts w:ascii="Times New Roman" w:hAnsi="Times New Roman" w:cs="Times New Roman"/>
          <w:sz w:val="24"/>
          <w:szCs w:val="24"/>
        </w:rPr>
        <w:t xml:space="preserve"> adopted by the Commission]</w:t>
      </w:r>
    </w:p>
    <w:p w14:paraId="73B5678B" w14:textId="5E564B74" w:rsidR="00CB1F81" w:rsidRPr="003D27D1" w:rsidRDefault="008B218E" w:rsidP="00B62854">
      <w:pPr>
        <w:pStyle w:val="ListParagraph"/>
        <w:numPr>
          <w:ilvl w:val="0"/>
          <w:numId w:val="2"/>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The signatories agreed that if CenterPoint Houston appeals any Commission decision related to dividend restrictions, CenterPoint Houston will reimburse</w:t>
      </w:r>
      <w:r w:rsidR="009907E0">
        <w:rPr>
          <w:rFonts w:ascii="Times New Roman" w:hAnsi="Times New Roman" w:cs="Times New Roman"/>
          <w:sz w:val="24"/>
          <w:szCs w:val="24"/>
        </w:rPr>
        <w:t>, on a monthly basis,</w:t>
      </w:r>
      <w:r w:rsidRPr="003D27D1">
        <w:rPr>
          <w:rFonts w:ascii="Times New Roman" w:hAnsi="Times New Roman" w:cs="Times New Roman"/>
          <w:sz w:val="24"/>
          <w:szCs w:val="24"/>
        </w:rPr>
        <w:t xml:space="preserve"> the expenses of other parties incurred to litigate that appeal and not seek recovery of those expenses in rates.</w:t>
      </w:r>
    </w:p>
    <w:p w14:paraId="35C205CA" w14:textId="1F972809" w:rsidR="00CB1F81" w:rsidRPr="003D27D1" w:rsidRDefault="000F2647" w:rsidP="00AC3020">
      <w:pPr>
        <w:keepNext/>
        <w:spacing w:before="120" w:after="0" w:line="360" w:lineRule="auto"/>
        <w:rPr>
          <w:rFonts w:ascii="Times New Roman" w:hAnsi="Times New Roman" w:cs="Times New Roman"/>
          <w:b/>
          <w:bCs/>
          <w:i/>
          <w:iCs/>
          <w:sz w:val="24"/>
          <w:szCs w:val="24"/>
          <w:u w:val="single"/>
        </w:rPr>
      </w:pPr>
      <w:r w:rsidRPr="003D27D1">
        <w:rPr>
          <w:rFonts w:ascii="Times New Roman" w:hAnsi="Times New Roman" w:cs="Times New Roman"/>
          <w:b/>
          <w:bCs/>
          <w:i/>
          <w:iCs/>
          <w:sz w:val="24"/>
          <w:szCs w:val="24"/>
          <w:u w:val="single"/>
        </w:rPr>
        <w:lastRenderedPageBreak/>
        <w:t>Invested Capital</w:t>
      </w:r>
    </w:p>
    <w:p w14:paraId="42BBFBE7" w14:textId="161E9B4C" w:rsidR="00F06A83" w:rsidRPr="003D27D1" w:rsidRDefault="009907E0" w:rsidP="00EE604E">
      <w:pPr>
        <w:pStyle w:val="ListParagraph"/>
        <w:numPr>
          <w:ilvl w:val="0"/>
          <w:numId w:val="2"/>
        </w:numPr>
        <w:spacing w:before="120" w:after="0" w:line="360" w:lineRule="auto"/>
        <w:ind w:hanging="720"/>
        <w:contextualSpacing w:val="0"/>
        <w:rPr>
          <w:rFonts w:ascii="Times New Roman" w:hAnsi="Times New Roman" w:cs="Times New Roman"/>
          <w:sz w:val="24"/>
          <w:szCs w:val="24"/>
        </w:rPr>
      </w:pPr>
      <w:r>
        <w:rPr>
          <w:rFonts w:ascii="Times New Roman" w:hAnsi="Times New Roman" w:cs="Times New Roman"/>
          <w:sz w:val="24"/>
          <w:szCs w:val="24"/>
        </w:rPr>
        <w:t>CenterPoint Houston’s invested capital, including its plant in service</w:t>
      </w:r>
      <w:r w:rsidR="000F2647" w:rsidRPr="003D27D1">
        <w:rPr>
          <w:rFonts w:ascii="Times New Roman" w:hAnsi="Times New Roman" w:cs="Times New Roman"/>
          <w:sz w:val="24"/>
          <w:szCs w:val="24"/>
        </w:rPr>
        <w:t xml:space="preserve"> through the end of the test year (December 31, 2018), as reflected on Exhibit </w:t>
      </w:r>
      <w:r w:rsidR="000F2647" w:rsidRPr="00597B43">
        <w:rPr>
          <w:rFonts w:ascii="Times New Roman" w:hAnsi="Times New Roman" w:cs="Times New Roman"/>
          <w:sz w:val="24"/>
          <w:szCs w:val="24"/>
        </w:rPr>
        <w:t>D</w:t>
      </w:r>
      <w:r w:rsidR="000F2647" w:rsidRPr="003D27D1">
        <w:rPr>
          <w:rFonts w:ascii="Times New Roman" w:hAnsi="Times New Roman" w:cs="Times New Roman"/>
          <w:sz w:val="24"/>
          <w:szCs w:val="24"/>
        </w:rPr>
        <w:t xml:space="preserve"> to the settlement agreement, is used and useful in providing service</w:t>
      </w:r>
      <w:r w:rsidR="00F06A83" w:rsidRPr="003D27D1">
        <w:rPr>
          <w:rFonts w:ascii="Times New Roman" w:hAnsi="Times New Roman" w:cs="Times New Roman"/>
          <w:sz w:val="24"/>
          <w:szCs w:val="24"/>
        </w:rPr>
        <w:t xml:space="preserve"> and was prudently incurred.</w:t>
      </w:r>
      <w:r w:rsidR="00670E53" w:rsidRPr="003D27D1">
        <w:rPr>
          <w:rFonts w:ascii="Times New Roman" w:hAnsi="Times New Roman" w:cs="Times New Roman"/>
          <w:sz w:val="24"/>
          <w:szCs w:val="24"/>
        </w:rPr>
        <w:t xml:space="preserve">  This includes </w:t>
      </w:r>
      <w:r w:rsidR="00F06A83" w:rsidRPr="003D27D1">
        <w:rPr>
          <w:rFonts w:ascii="Times New Roman" w:eastAsia="Times New Roman" w:hAnsi="Times New Roman" w:cs="Times New Roman"/>
          <w:sz w:val="24"/>
          <w:szCs w:val="24"/>
        </w:rPr>
        <w:t>approximately $41.2 million in Underground Cable Life Extension Program investment placed in service from January 1, 2013 through December 31, 2017 is used and useful in providing service, and prudent and properly included in rate base.</w:t>
      </w:r>
    </w:p>
    <w:p w14:paraId="7DD07D11" w14:textId="77777777" w:rsidR="006572FA" w:rsidRPr="003D27D1" w:rsidRDefault="003978F1" w:rsidP="00B2551C">
      <w:pPr>
        <w:pStyle w:val="ListParagraph"/>
        <w:spacing w:after="0" w:line="360" w:lineRule="auto"/>
        <w:ind w:left="0"/>
        <w:contextualSpacing w:val="0"/>
        <w:rPr>
          <w:rFonts w:ascii="Times New Roman" w:hAnsi="Times New Roman" w:cs="Times New Roman"/>
          <w:b/>
          <w:bCs/>
          <w:i/>
          <w:iCs/>
          <w:sz w:val="24"/>
          <w:szCs w:val="24"/>
          <w:u w:val="single"/>
        </w:rPr>
      </w:pPr>
      <w:r w:rsidRPr="003D27D1">
        <w:rPr>
          <w:rFonts w:ascii="Times New Roman" w:hAnsi="Times New Roman" w:cs="Times New Roman"/>
          <w:b/>
          <w:bCs/>
          <w:i/>
          <w:iCs/>
          <w:sz w:val="24"/>
          <w:szCs w:val="24"/>
          <w:u w:val="single"/>
        </w:rPr>
        <w:t>Cash Working Capital</w:t>
      </w:r>
    </w:p>
    <w:p w14:paraId="783DB1DB" w14:textId="7734B814" w:rsidR="006572FA" w:rsidRPr="003D27D1" w:rsidRDefault="00216224" w:rsidP="00EE604E">
      <w:pPr>
        <w:pStyle w:val="ListParagraph"/>
        <w:numPr>
          <w:ilvl w:val="0"/>
          <w:numId w:val="2"/>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 xml:space="preserve">The </w:t>
      </w:r>
      <w:r w:rsidR="00720478" w:rsidRPr="003D27D1">
        <w:rPr>
          <w:rFonts w:ascii="Times New Roman" w:hAnsi="Times New Roman" w:cs="Times New Roman"/>
          <w:sz w:val="24"/>
          <w:szCs w:val="24"/>
        </w:rPr>
        <w:t>s</w:t>
      </w:r>
      <w:r w:rsidRPr="003D27D1">
        <w:rPr>
          <w:rFonts w:ascii="Times New Roman" w:hAnsi="Times New Roman" w:cs="Times New Roman"/>
          <w:sz w:val="24"/>
          <w:szCs w:val="24"/>
        </w:rPr>
        <w:t xml:space="preserve">ignatories </w:t>
      </w:r>
      <w:r w:rsidR="00720478" w:rsidRPr="003D27D1">
        <w:rPr>
          <w:rFonts w:ascii="Times New Roman" w:hAnsi="Times New Roman" w:cs="Times New Roman"/>
          <w:sz w:val="24"/>
          <w:szCs w:val="24"/>
        </w:rPr>
        <w:t>a</w:t>
      </w:r>
      <w:r w:rsidRPr="003D27D1">
        <w:rPr>
          <w:rFonts w:ascii="Times New Roman" w:hAnsi="Times New Roman" w:cs="Times New Roman"/>
          <w:sz w:val="24"/>
          <w:szCs w:val="24"/>
        </w:rPr>
        <w:t>gree</w:t>
      </w:r>
      <w:r w:rsidR="00720478" w:rsidRPr="003D27D1">
        <w:rPr>
          <w:rFonts w:ascii="Times New Roman" w:hAnsi="Times New Roman" w:cs="Times New Roman"/>
          <w:sz w:val="24"/>
          <w:szCs w:val="24"/>
        </w:rPr>
        <w:t>d</w:t>
      </w:r>
      <w:r w:rsidRPr="003D27D1">
        <w:rPr>
          <w:rFonts w:ascii="Times New Roman" w:hAnsi="Times New Roman" w:cs="Times New Roman"/>
          <w:sz w:val="24"/>
          <w:szCs w:val="24"/>
        </w:rPr>
        <w:t xml:space="preserve"> that </w:t>
      </w:r>
      <w:r w:rsidR="003978F1" w:rsidRPr="003D27D1">
        <w:rPr>
          <w:rFonts w:ascii="Times New Roman" w:hAnsi="Times New Roman" w:cs="Times New Roman"/>
          <w:sz w:val="24"/>
          <w:szCs w:val="24"/>
        </w:rPr>
        <w:t xml:space="preserve">CenterPoint Houston’s total company cash working capital of </w:t>
      </w:r>
      <w:r w:rsidRPr="003D27D1">
        <w:rPr>
          <w:rFonts w:ascii="Times New Roman" w:hAnsi="Times New Roman" w:cs="Times New Roman"/>
          <w:sz w:val="24"/>
          <w:szCs w:val="24"/>
        </w:rPr>
        <w:t xml:space="preserve">$24,269,000 </w:t>
      </w:r>
      <w:r w:rsidR="003978F1" w:rsidRPr="003D27D1">
        <w:rPr>
          <w:rFonts w:ascii="Times New Roman" w:hAnsi="Times New Roman" w:cs="Times New Roman"/>
          <w:sz w:val="24"/>
          <w:szCs w:val="24"/>
        </w:rPr>
        <w:t>is reasonable</w:t>
      </w:r>
      <w:r w:rsidRPr="003D27D1">
        <w:rPr>
          <w:rFonts w:ascii="Times New Roman" w:hAnsi="Times New Roman" w:cs="Times New Roman"/>
          <w:sz w:val="24"/>
          <w:szCs w:val="24"/>
        </w:rPr>
        <w:t xml:space="preserve"> and this amount shall be used for </w:t>
      </w:r>
      <w:r w:rsidRPr="003D27D1">
        <w:rPr>
          <w:rFonts w:ascii="Times New Roman" w:eastAsia="Times New Roman" w:hAnsi="Times New Roman" w:cs="Times New Roman"/>
          <w:sz w:val="24"/>
          <w:szCs w:val="24"/>
        </w:rPr>
        <w:t xml:space="preserve">preparation of CenterPoint Houston’s Earnings Monitoring Reports for reporting years beginning in 2020, as shown on Exhibit </w:t>
      </w:r>
      <w:r w:rsidRPr="00597B43">
        <w:rPr>
          <w:rFonts w:ascii="Times New Roman" w:eastAsia="Times New Roman" w:hAnsi="Times New Roman" w:cs="Times New Roman"/>
          <w:sz w:val="24"/>
          <w:szCs w:val="24"/>
        </w:rPr>
        <w:t>D</w:t>
      </w:r>
      <w:r w:rsidR="00720478" w:rsidRPr="003D27D1">
        <w:rPr>
          <w:rFonts w:ascii="Times New Roman" w:eastAsia="Times New Roman" w:hAnsi="Times New Roman" w:cs="Times New Roman"/>
          <w:sz w:val="24"/>
          <w:szCs w:val="24"/>
        </w:rPr>
        <w:t>.</w:t>
      </w:r>
    </w:p>
    <w:p w14:paraId="206253C7" w14:textId="35A65E82" w:rsidR="00670E53" w:rsidRPr="003D27D1" w:rsidRDefault="00670E53" w:rsidP="00EE604E">
      <w:pPr>
        <w:pStyle w:val="ListParagraph"/>
        <w:numPr>
          <w:ilvl w:val="0"/>
          <w:numId w:val="2"/>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CenterPoint Houston’s total company cash working capital of $24,269,000 is reasonable.</w:t>
      </w:r>
    </w:p>
    <w:p w14:paraId="4B6D8B1A" w14:textId="77777777" w:rsidR="003978F1" w:rsidRPr="003D27D1" w:rsidRDefault="003978F1" w:rsidP="00F53750">
      <w:pPr>
        <w:spacing w:before="120" w:after="0" w:line="360" w:lineRule="auto"/>
        <w:rPr>
          <w:rFonts w:ascii="Times New Roman" w:hAnsi="Times New Roman" w:cs="Times New Roman"/>
          <w:b/>
          <w:bCs/>
          <w:i/>
          <w:iCs/>
          <w:sz w:val="24"/>
          <w:szCs w:val="24"/>
          <w:u w:val="single"/>
        </w:rPr>
      </w:pPr>
      <w:r w:rsidRPr="003D27D1">
        <w:rPr>
          <w:rFonts w:ascii="Times New Roman" w:hAnsi="Times New Roman" w:cs="Times New Roman"/>
          <w:b/>
          <w:bCs/>
          <w:i/>
          <w:iCs/>
          <w:sz w:val="24"/>
          <w:szCs w:val="24"/>
          <w:u w:val="single"/>
        </w:rPr>
        <w:t>Certain Tax Matters</w:t>
      </w:r>
    </w:p>
    <w:p w14:paraId="0EFCAEE5" w14:textId="73AA76D1" w:rsidR="00216224" w:rsidRPr="003D27D1" w:rsidRDefault="003978F1" w:rsidP="00EE604E">
      <w:pPr>
        <w:pStyle w:val="ListParagraph"/>
        <w:numPr>
          <w:ilvl w:val="0"/>
          <w:numId w:val="2"/>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 xml:space="preserve">The </w:t>
      </w:r>
      <w:r w:rsidR="00720478" w:rsidRPr="003D27D1">
        <w:rPr>
          <w:rFonts w:ascii="Times New Roman" w:hAnsi="Times New Roman" w:cs="Times New Roman"/>
          <w:sz w:val="24"/>
          <w:szCs w:val="24"/>
        </w:rPr>
        <w:t>s</w:t>
      </w:r>
      <w:r w:rsidR="00216224" w:rsidRPr="003D27D1">
        <w:rPr>
          <w:rFonts w:ascii="Times New Roman" w:hAnsi="Times New Roman" w:cs="Times New Roman"/>
          <w:sz w:val="24"/>
          <w:szCs w:val="24"/>
        </w:rPr>
        <w:t xml:space="preserve">ignatories </w:t>
      </w:r>
      <w:r w:rsidR="00720478" w:rsidRPr="003D27D1">
        <w:rPr>
          <w:rFonts w:ascii="Times New Roman" w:hAnsi="Times New Roman" w:cs="Times New Roman"/>
          <w:sz w:val="24"/>
          <w:szCs w:val="24"/>
        </w:rPr>
        <w:t>a</w:t>
      </w:r>
      <w:r w:rsidR="00216224" w:rsidRPr="003D27D1">
        <w:rPr>
          <w:rFonts w:ascii="Times New Roman" w:hAnsi="Times New Roman" w:cs="Times New Roman"/>
          <w:sz w:val="24"/>
          <w:szCs w:val="24"/>
        </w:rPr>
        <w:t>gree</w:t>
      </w:r>
      <w:r w:rsidR="00720478" w:rsidRPr="003D27D1">
        <w:rPr>
          <w:rFonts w:ascii="Times New Roman" w:hAnsi="Times New Roman" w:cs="Times New Roman"/>
          <w:sz w:val="24"/>
          <w:szCs w:val="24"/>
        </w:rPr>
        <w:t>d</w:t>
      </w:r>
      <w:r w:rsidR="00216224" w:rsidRPr="003D27D1">
        <w:rPr>
          <w:rFonts w:ascii="Times New Roman" w:hAnsi="Times New Roman" w:cs="Times New Roman"/>
          <w:sz w:val="24"/>
          <w:szCs w:val="24"/>
        </w:rPr>
        <w:t xml:space="preserve"> that </w:t>
      </w:r>
      <w:r w:rsidR="00881D67" w:rsidRPr="00271BA5">
        <w:rPr>
          <w:rFonts w:ascii="Times New Roman" w:hAnsi="Times New Roman" w:cs="Times New Roman"/>
          <w:sz w:val="24"/>
          <w:szCs w:val="24"/>
        </w:rPr>
        <w:t>CenterPoint Houston shall refund through Rider UEDIT and</w:t>
      </w:r>
      <w:r w:rsidR="00876E2D">
        <w:rPr>
          <w:rFonts w:ascii="Times New Roman" w:hAnsi="Times New Roman" w:cs="Times New Roman"/>
          <w:sz w:val="24"/>
          <w:szCs w:val="24"/>
        </w:rPr>
        <w:t xml:space="preserve"> </w:t>
      </w:r>
      <w:bookmarkStart w:id="5" w:name="_Hlk30406674"/>
      <w:r w:rsidR="00876E2D">
        <w:rPr>
          <w:rFonts w:ascii="Times New Roman" w:hAnsi="Times New Roman" w:cs="Times New Roman"/>
          <w:sz w:val="24"/>
          <w:szCs w:val="24"/>
        </w:rPr>
        <w:t>its</w:t>
      </w:r>
      <w:r w:rsidR="00881D67" w:rsidRPr="00271BA5">
        <w:rPr>
          <w:rFonts w:ascii="Times New Roman" w:hAnsi="Times New Roman" w:cs="Times New Roman"/>
          <w:sz w:val="24"/>
          <w:szCs w:val="24"/>
        </w:rPr>
        <w:t xml:space="preserve"> Wholesale Transmission Service tariff</w:t>
      </w:r>
      <w:bookmarkEnd w:id="5"/>
      <w:r w:rsidR="00881D67" w:rsidRPr="00271BA5">
        <w:rPr>
          <w:rFonts w:ascii="Times New Roman" w:hAnsi="Times New Roman" w:cs="Times New Roman"/>
          <w:sz w:val="24"/>
          <w:szCs w:val="24"/>
        </w:rPr>
        <w:t xml:space="preserve"> an unprotected excess deferred income tax (UEDIT) amount of $64,903,763, protected excess deferred income tax amount of $18,659,227, and gross up of $21,886,079 for a total UEDIT refund of $105,449,069</w:t>
      </w:r>
      <w:r w:rsidR="005762CC">
        <w:rPr>
          <w:rFonts w:ascii="Times New Roman" w:hAnsi="Times New Roman" w:cs="Times New Roman"/>
          <w:sz w:val="24"/>
          <w:szCs w:val="24"/>
        </w:rPr>
        <w:t xml:space="preserve"> plus carrying costs</w:t>
      </w:r>
      <w:r w:rsidR="00881D67" w:rsidRPr="00271BA5">
        <w:rPr>
          <w:rFonts w:ascii="Times New Roman" w:hAnsi="Times New Roman" w:cs="Times New Roman"/>
          <w:sz w:val="24"/>
          <w:szCs w:val="24"/>
        </w:rPr>
        <w:t xml:space="preserve">.  The refund and amortization period for UEDIT </w:t>
      </w:r>
      <w:r w:rsidR="005762CC">
        <w:rPr>
          <w:rFonts w:ascii="Times New Roman" w:hAnsi="Times New Roman" w:cs="Times New Roman"/>
          <w:sz w:val="24"/>
          <w:szCs w:val="24"/>
        </w:rPr>
        <w:t>for Residential Service, Secondary Service Less Than or Equal to 10 KVA, Street</w:t>
      </w:r>
      <w:r w:rsidR="005C03D8">
        <w:rPr>
          <w:rFonts w:ascii="Times New Roman" w:hAnsi="Times New Roman" w:cs="Times New Roman"/>
          <w:sz w:val="24"/>
          <w:szCs w:val="24"/>
        </w:rPr>
        <w:t xml:space="preserve"> L</w:t>
      </w:r>
      <w:r w:rsidR="005762CC">
        <w:rPr>
          <w:rFonts w:ascii="Times New Roman" w:hAnsi="Times New Roman" w:cs="Times New Roman"/>
          <w:sz w:val="24"/>
          <w:szCs w:val="24"/>
        </w:rPr>
        <w:t xml:space="preserve">ighting </w:t>
      </w:r>
      <w:r w:rsidR="005C03D8">
        <w:rPr>
          <w:rFonts w:ascii="Times New Roman" w:hAnsi="Times New Roman" w:cs="Times New Roman"/>
          <w:sz w:val="24"/>
          <w:szCs w:val="24"/>
        </w:rPr>
        <w:t xml:space="preserve">Service, and Miscellaneous Lighting Service </w:t>
      </w:r>
      <w:r w:rsidR="00332C38" w:rsidRPr="00332C38">
        <w:rPr>
          <w:rFonts w:ascii="Times New Roman" w:hAnsi="Times New Roman" w:cs="Times New Roman"/>
          <w:sz w:val="24"/>
          <w:szCs w:val="24"/>
        </w:rPr>
        <w:t xml:space="preserve">shall be approximately 30 months </w:t>
      </w:r>
      <w:r w:rsidR="00881D67" w:rsidRPr="00271BA5">
        <w:rPr>
          <w:rFonts w:ascii="Times New Roman" w:hAnsi="Times New Roman" w:cs="Times New Roman"/>
          <w:sz w:val="24"/>
          <w:szCs w:val="24"/>
        </w:rPr>
        <w:t>beginning with the effective date of the rates authorized in this proceeding, as shown in the rate schedules on Exhibit E</w:t>
      </w:r>
      <w:r w:rsidR="00670E53" w:rsidRPr="003D27D1">
        <w:rPr>
          <w:rFonts w:ascii="Times New Roman" w:hAnsi="Times New Roman" w:cs="Times New Roman"/>
          <w:sz w:val="24"/>
          <w:szCs w:val="24"/>
        </w:rPr>
        <w:t xml:space="preserve"> to the settlement agreement</w:t>
      </w:r>
      <w:r w:rsidR="00881A8C" w:rsidRPr="003D27D1">
        <w:rPr>
          <w:rFonts w:ascii="Times New Roman" w:hAnsi="Times New Roman" w:cs="Times New Roman"/>
          <w:sz w:val="24"/>
          <w:szCs w:val="24"/>
        </w:rPr>
        <w:t>.</w:t>
      </w:r>
      <w:r w:rsidR="005C03D8">
        <w:rPr>
          <w:rFonts w:ascii="Times New Roman" w:hAnsi="Times New Roman" w:cs="Times New Roman"/>
          <w:sz w:val="24"/>
          <w:szCs w:val="24"/>
        </w:rPr>
        <w:t xml:space="preserve">  </w:t>
      </w:r>
      <w:r w:rsidR="005C03D8" w:rsidRPr="00261172">
        <w:rPr>
          <w:rFonts w:ascii="Times New Roman" w:hAnsi="Times New Roman" w:cs="Times New Roman"/>
          <w:sz w:val="24"/>
          <w:szCs w:val="24"/>
        </w:rPr>
        <w:t xml:space="preserve">The refund and amortization period for UEDIT </w:t>
      </w:r>
      <w:r w:rsidR="005C03D8">
        <w:rPr>
          <w:rFonts w:ascii="Times New Roman" w:hAnsi="Times New Roman" w:cs="Times New Roman"/>
          <w:sz w:val="24"/>
          <w:szCs w:val="24"/>
        </w:rPr>
        <w:t xml:space="preserve">for Secondary Service Greater Than 10 KVA, Primary Service, and Transmission Service </w:t>
      </w:r>
      <w:r w:rsidR="00332C38" w:rsidRPr="00332C38">
        <w:rPr>
          <w:rFonts w:ascii="Times New Roman" w:hAnsi="Times New Roman" w:cs="Times New Roman"/>
          <w:sz w:val="24"/>
          <w:szCs w:val="24"/>
        </w:rPr>
        <w:t xml:space="preserve">shall be approximately 36 months </w:t>
      </w:r>
      <w:r w:rsidR="005C03D8" w:rsidRPr="00261172">
        <w:rPr>
          <w:rFonts w:ascii="Times New Roman" w:hAnsi="Times New Roman" w:cs="Times New Roman"/>
          <w:sz w:val="24"/>
          <w:szCs w:val="24"/>
        </w:rPr>
        <w:t>beginning with the effective date of the rates authorized in this proceeding, as shown in the rate schedules on Exhibit E</w:t>
      </w:r>
      <w:r w:rsidR="005C03D8" w:rsidRPr="003D27D1">
        <w:rPr>
          <w:rFonts w:ascii="Times New Roman" w:hAnsi="Times New Roman" w:cs="Times New Roman"/>
          <w:sz w:val="24"/>
          <w:szCs w:val="24"/>
        </w:rPr>
        <w:t xml:space="preserve"> to the settlement agreement</w:t>
      </w:r>
      <w:r w:rsidR="005C03D8" w:rsidRPr="00B36941">
        <w:rPr>
          <w:rFonts w:ascii="Times New Roman" w:hAnsi="Times New Roman" w:cs="Times New Roman"/>
          <w:sz w:val="24"/>
          <w:szCs w:val="24"/>
        </w:rPr>
        <w:t>.</w:t>
      </w:r>
      <w:r w:rsidR="00B36941" w:rsidRPr="00B36941">
        <w:rPr>
          <w:rFonts w:ascii="Times New Roman" w:hAnsi="Times New Roman" w:cs="Times New Roman"/>
          <w:sz w:val="24"/>
          <w:szCs w:val="24"/>
        </w:rPr>
        <w:t xml:space="preserve">  </w:t>
      </w:r>
      <w:r w:rsidR="00B36941" w:rsidRPr="00271BA5">
        <w:rPr>
          <w:rFonts w:ascii="Times New Roman" w:hAnsi="Times New Roman" w:cs="Times New Roman"/>
          <w:sz w:val="24"/>
          <w:szCs w:val="24"/>
        </w:rPr>
        <w:t>The refund and amortization period for the amount included in the Wholesale Transmission Service (WTS) tariff is approximately 36 months, as shown in the WTS rate schedule on Exhibit C</w:t>
      </w:r>
      <w:r w:rsidR="00B36941">
        <w:rPr>
          <w:rFonts w:ascii="Times New Roman" w:hAnsi="Times New Roman" w:cs="Times New Roman"/>
          <w:sz w:val="24"/>
          <w:szCs w:val="24"/>
        </w:rPr>
        <w:t xml:space="preserve"> to the </w:t>
      </w:r>
      <w:r w:rsidR="00271BA5">
        <w:rPr>
          <w:rFonts w:ascii="Times New Roman" w:hAnsi="Times New Roman" w:cs="Times New Roman"/>
          <w:sz w:val="24"/>
          <w:szCs w:val="24"/>
        </w:rPr>
        <w:t>settlement a</w:t>
      </w:r>
      <w:r w:rsidR="00B36941">
        <w:rPr>
          <w:rFonts w:ascii="Times New Roman" w:hAnsi="Times New Roman" w:cs="Times New Roman"/>
          <w:sz w:val="24"/>
          <w:szCs w:val="24"/>
        </w:rPr>
        <w:t>gree</w:t>
      </w:r>
      <w:r w:rsidR="00271BA5">
        <w:rPr>
          <w:rFonts w:ascii="Times New Roman" w:hAnsi="Times New Roman" w:cs="Times New Roman"/>
          <w:sz w:val="24"/>
          <w:szCs w:val="24"/>
        </w:rPr>
        <w:t>ment</w:t>
      </w:r>
      <w:r w:rsidR="00B36941" w:rsidRPr="00271BA5">
        <w:rPr>
          <w:rFonts w:ascii="Times New Roman" w:hAnsi="Times New Roman" w:cs="Times New Roman"/>
          <w:sz w:val="24"/>
          <w:szCs w:val="24"/>
        </w:rPr>
        <w:t>.</w:t>
      </w:r>
    </w:p>
    <w:p w14:paraId="45AD72C7" w14:textId="1406F4C1" w:rsidR="006E18C1" w:rsidRDefault="00216224" w:rsidP="006E18C1">
      <w:pPr>
        <w:pStyle w:val="ListParagraph"/>
        <w:numPr>
          <w:ilvl w:val="0"/>
          <w:numId w:val="2"/>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lastRenderedPageBreak/>
        <w:t xml:space="preserve">The </w:t>
      </w:r>
      <w:r w:rsidR="00720478" w:rsidRPr="003D27D1">
        <w:rPr>
          <w:rFonts w:ascii="Times New Roman" w:hAnsi="Times New Roman" w:cs="Times New Roman"/>
          <w:sz w:val="24"/>
          <w:szCs w:val="24"/>
        </w:rPr>
        <w:t>s</w:t>
      </w:r>
      <w:r w:rsidRPr="003D27D1">
        <w:rPr>
          <w:rFonts w:ascii="Times New Roman" w:hAnsi="Times New Roman" w:cs="Times New Roman"/>
          <w:sz w:val="24"/>
          <w:szCs w:val="24"/>
        </w:rPr>
        <w:t xml:space="preserve">ignatories </w:t>
      </w:r>
      <w:r w:rsidR="00720478" w:rsidRPr="003D27D1">
        <w:rPr>
          <w:rFonts w:ascii="Times New Roman" w:hAnsi="Times New Roman" w:cs="Times New Roman"/>
          <w:sz w:val="24"/>
          <w:szCs w:val="24"/>
        </w:rPr>
        <w:t>a</w:t>
      </w:r>
      <w:r w:rsidRPr="003D27D1">
        <w:rPr>
          <w:rFonts w:ascii="Times New Roman" w:hAnsi="Times New Roman" w:cs="Times New Roman"/>
          <w:sz w:val="24"/>
          <w:szCs w:val="24"/>
        </w:rPr>
        <w:t>gree</w:t>
      </w:r>
      <w:r w:rsidR="00720478" w:rsidRPr="003D27D1">
        <w:rPr>
          <w:rFonts w:ascii="Times New Roman" w:hAnsi="Times New Roman" w:cs="Times New Roman"/>
          <w:sz w:val="24"/>
          <w:szCs w:val="24"/>
        </w:rPr>
        <w:t>d</w:t>
      </w:r>
      <w:r w:rsidRPr="003D27D1">
        <w:rPr>
          <w:rFonts w:ascii="Times New Roman" w:hAnsi="Times New Roman" w:cs="Times New Roman"/>
          <w:sz w:val="24"/>
          <w:szCs w:val="24"/>
        </w:rPr>
        <w:t xml:space="preserve"> that no proceeding should be initiated to review CenterPoint Houston’s </w:t>
      </w:r>
      <w:r w:rsidR="009907E0">
        <w:rPr>
          <w:rFonts w:ascii="Times New Roman" w:hAnsi="Times New Roman" w:cs="Times New Roman"/>
          <w:sz w:val="24"/>
          <w:szCs w:val="24"/>
        </w:rPr>
        <w:t xml:space="preserve">or its affiliate’s </w:t>
      </w:r>
      <w:r w:rsidRPr="003D27D1">
        <w:rPr>
          <w:rFonts w:ascii="Times New Roman" w:hAnsi="Times New Roman" w:cs="Times New Roman"/>
          <w:sz w:val="24"/>
          <w:szCs w:val="24"/>
        </w:rPr>
        <w:t xml:space="preserve">ADFIT balances on CenterPoint Houston’s </w:t>
      </w:r>
      <w:r w:rsidR="009907E0">
        <w:rPr>
          <w:rFonts w:ascii="Times New Roman" w:hAnsi="Times New Roman" w:cs="Times New Roman"/>
          <w:sz w:val="24"/>
          <w:szCs w:val="24"/>
        </w:rPr>
        <w:t xml:space="preserve">or its affiliate’s </w:t>
      </w:r>
      <w:r w:rsidRPr="003D27D1">
        <w:rPr>
          <w:rFonts w:ascii="Times New Roman" w:hAnsi="Times New Roman" w:cs="Times New Roman"/>
          <w:sz w:val="24"/>
          <w:szCs w:val="24"/>
        </w:rPr>
        <w:t xml:space="preserve">transition and restoration bonds and that </w:t>
      </w:r>
      <w:r w:rsidR="009907E0">
        <w:rPr>
          <w:rFonts w:ascii="Times New Roman" w:hAnsi="Times New Roman" w:cs="Times New Roman"/>
          <w:sz w:val="24"/>
          <w:szCs w:val="24"/>
        </w:rPr>
        <w:t>no Signatory will raise issues related</w:t>
      </w:r>
      <w:r w:rsidRPr="003D27D1">
        <w:rPr>
          <w:rFonts w:ascii="Times New Roman" w:hAnsi="Times New Roman" w:cs="Times New Roman"/>
          <w:sz w:val="24"/>
          <w:szCs w:val="24"/>
        </w:rPr>
        <w:t xml:space="preserve"> to the appropriate treatment of EDIT amounts associated with those bonds </w:t>
      </w:r>
      <w:r w:rsidR="009907E0">
        <w:rPr>
          <w:rFonts w:ascii="Times New Roman" w:hAnsi="Times New Roman" w:cs="Times New Roman"/>
          <w:sz w:val="24"/>
          <w:szCs w:val="24"/>
        </w:rPr>
        <w:t>in future Commission proceedings related to CenterPoint Houston or its affiliates</w:t>
      </w:r>
      <w:r w:rsidRPr="003D27D1">
        <w:rPr>
          <w:rFonts w:ascii="Times New Roman" w:hAnsi="Times New Roman" w:cs="Times New Roman"/>
          <w:sz w:val="24"/>
          <w:szCs w:val="24"/>
        </w:rPr>
        <w:t>.</w:t>
      </w:r>
    </w:p>
    <w:p w14:paraId="1E0B5390" w14:textId="25C07E94" w:rsidR="006E18C1" w:rsidRPr="0021682B" w:rsidRDefault="006E18C1" w:rsidP="006E18C1">
      <w:pPr>
        <w:pStyle w:val="ListParagraph"/>
        <w:numPr>
          <w:ilvl w:val="0"/>
          <w:numId w:val="2"/>
        </w:numPr>
        <w:spacing w:before="120" w:after="0" w:line="360" w:lineRule="auto"/>
        <w:ind w:hanging="720"/>
        <w:contextualSpacing w:val="0"/>
        <w:rPr>
          <w:rFonts w:ascii="Times New Roman" w:hAnsi="Times New Roman" w:cs="Times New Roman"/>
          <w:sz w:val="24"/>
          <w:szCs w:val="24"/>
        </w:rPr>
      </w:pPr>
      <w:r w:rsidRPr="006C1666">
        <w:rPr>
          <w:rFonts w:ascii="Times New Roman" w:eastAsia="Times New Roman" w:hAnsi="Times New Roman" w:cs="Times New Roman"/>
          <w:sz w:val="24"/>
          <w:szCs w:val="24"/>
        </w:rPr>
        <w:t>CenterPoint</w:t>
      </w:r>
      <w:r w:rsidRPr="006C1666">
        <w:rPr>
          <w:rFonts w:ascii="TimesNewRomanPSMT" w:eastAsia="Times New Roman" w:hAnsi="TimesNewRomanPSMT" w:cs="Calibri"/>
          <w:sz w:val="24"/>
          <w:szCs w:val="24"/>
        </w:rPr>
        <w:t xml:space="preserve"> Houston’s TCJA-related protected EDIT balance is $562.5 million and must be returned to customers under the average rate assumption method (ARAM).</w:t>
      </w:r>
    </w:p>
    <w:p w14:paraId="2060A4B8" w14:textId="7671FEA3" w:rsidR="006E18C1" w:rsidRPr="0021682B" w:rsidRDefault="006E18C1" w:rsidP="006E18C1">
      <w:pPr>
        <w:pStyle w:val="ListParagraph"/>
        <w:numPr>
          <w:ilvl w:val="0"/>
          <w:numId w:val="2"/>
        </w:numPr>
        <w:spacing w:before="120" w:after="0" w:line="360" w:lineRule="auto"/>
        <w:ind w:hanging="720"/>
        <w:contextualSpacing w:val="0"/>
        <w:rPr>
          <w:rFonts w:ascii="Times New Roman" w:hAnsi="Times New Roman" w:cs="Times New Roman"/>
          <w:sz w:val="24"/>
          <w:szCs w:val="24"/>
        </w:rPr>
      </w:pPr>
      <w:r w:rsidRPr="0021682B">
        <w:rPr>
          <w:rFonts w:ascii="TimesNewRomanPSMT" w:eastAsia="Times New Roman" w:hAnsi="TimesNewRomanPSMT" w:cs="Calibri"/>
          <w:sz w:val="24"/>
          <w:szCs w:val="24"/>
        </w:rPr>
        <w:t xml:space="preserve">CenterPoint Houston’s proposal to return the protected EDIT balance through rates </w:t>
      </w:r>
      <w:r>
        <w:rPr>
          <w:rFonts w:ascii="TimesNewRomanPSMT" w:eastAsia="Times New Roman" w:hAnsi="TimesNewRomanPSMT" w:cs="Calibri"/>
          <w:sz w:val="24"/>
          <w:szCs w:val="24"/>
        </w:rPr>
        <w:t xml:space="preserve">under </w:t>
      </w:r>
      <w:r w:rsidR="000D3F47">
        <w:rPr>
          <w:rFonts w:ascii="TimesNewRomanPSMT" w:eastAsia="Times New Roman" w:hAnsi="TimesNewRomanPSMT" w:cs="Calibri"/>
          <w:sz w:val="24"/>
          <w:szCs w:val="24"/>
        </w:rPr>
        <w:t xml:space="preserve">ARAM </w:t>
      </w:r>
      <w:r w:rsidRPr="0021682B">
        <w:rPr>
          <w:rFonts w:ascii="TimesNewRomanPSMT" w:eastAsia="Times New Roman" w:hAnsi="TimesNewRomanPSMT" w:cs="Calibri"/>
          <w:sz w:val="24"/>
          <w:szCs w:val="24"/>
        </w:rPr>
        <w:t xml:space="preserve">and the unprotected EDIT balance through Rider UEDIT </w:t>
      </w:r>
      <w:r w:rsidR="0081753E">
        <w:rPr>
          <w:rFonts w:ascii="TimesNewRomanPSMT" w:eastAsia="Times New Roman" w:hAnsi="TimesNewRomanPSMT" w:cs="Calibri"/>
          <w:sz w:val="24"/>
          <w:szCs w:val="24"/>
        </w:rPr>
        <w:t>and</w:t>
      </w:r>
      <w:r w:rsidR="0081753E" w:rsidRPr="0081753E">
        <w:rPr>
          <w:rFonts w:ascii="Times New Roman" w:hAnsi="Times New Roman" w:cs="Times New Roman"/>
          <w:sz w:val="24"/>
          <w:szCs w:val="24"/>
        </w:rPr>
        <w:t xml:space="preserve"> </w:t>
      </w:r>
      <w:r w:rsidR="0081753E">
        <w:rPr>
          <w:rFonts w:ascii="Times New Roman" w:hAnsi="Times New Roman" w:cs="Times New Roman"/>
          <w:sz w:val="24"/>
          <w:szCs w:val="24"/>
        </w:rPr>
        <w:t>its</w:t>
      </w:r>
      <w:r w:rsidR="0081753E" w:rsidRPr="004F0403">
        <w:rPr>
          <w:rFonts w:ascii="Times New Roman" w:hAnsi="Times New Roman" w:cs="Times New Roman"/>
          <w:sz w:val="24"/>
          <w:szCs w:val="24"/>
        </w:rPr>
        <w:t xml:space="preserve"> Wholesale Transmission Service tariff</w:t>
      </w:r>
      <w:r w:rsidR="0081753E">
        <w:rPr>
          <w:rFonts w:ascii="TimesNewRomanPSMT" w:eastAsia="Times New Roman" w:hAnsi="TimesNewRomanPSMT" w:cs="Calibri"/>
          <w:sz w:val="24"/>
          <w:szCs w:val="24"/>
        </w:rPr>
        <w:t xml:space="preserve"> </w:t>
      </w:r>
      <w:r w:rsidRPr="0021682B">
        <w:rPr>
          <w:rFonts w:ascii="TimesNewRomanPSMT" w:eastAsia="Times New Roman" w:hAnsi="TimesNewRomanPSMT" w:cs="Calibri"/>
          <w:sz w:val="24"/>
          <w:szCs w:val="24"/>
        </w:rPr>
        <w:t>is just and reasonable.</w:t>
      </w:r>
    </w:p>
    <w:p w14:paraId="6C66C701" w14:textId="42F8BA1E" w:rsidR="00670E53" w:rsidRPr="003D27D1" w:rsidRDefault="0073263A" w:rsidP="0089277B">
      <w:pPr>
        <w:pStyle w:val="ListParagraph"/>
        <w:numPr>
          <w:ilvl w:val="0"/>
          <w:numId w:val="2"/>
        </w:numPr>
        <w:ind w:hanging="720"/>
        <w:rPr>
          <w:rFonts w:ascii="Times New Roman" w:hAnsi="Times New Roman" w:cs="Times New Roman"/>
          <w:sz w:val="24"/>
          <w:szCs w:val="24"/>
        </w:rPr>
      </w:pPr>
      <w:r w:rsidRPr="003D27D1">
        <w:rPr>
          <w:rFonts w:ascii="Times New Roman" w:hAnsi="Times New Roman" w:cs="Times New Roman"/>
          <w:sz w:val="24"/>
          <w:szCs w:val="24"/>
        </w:rPr>
        <w:t>The settlement agreement’s treatment of UEDIT is appropriate.</w:t>
      </w:r>
    </w:p>
    <w:p w14:paraId="70CDA64F" w14:textId="61D085BB" w:rsidR="00F06A83" w:rsidRPr="003D27D1" w:rsidRDefault="00F06A83" w:rsidP="00F53750">
      <w:pPr>
        <w:spacing w:before="120" w:after="0" w:line="360" w:lineRule="auto"/>
        <w:rPr>
          <w:rFonts w:ascii="Times New Roman" w:hAnsi="Times New Roman" w:cs="Times New Roman"/>
          <w:b/>
          <w:bCs/>
          <w:i/>
          <w:iCs/>
          <w:sz w:val="24"/>
          <w:szCs w:val="24"/>
          <w:u w:val="single"/>
        </w:rPr>
      </w:pPr>
      <w:r w:rsidRPr="003D27D1">
        <w:rPr>
          <w:rFonts w:ascii="Times New Roman" w:hAnsi="Times New Roman" w:cs="Times New Roman"/>
          <w:b/>
          <w:bCs/>
          <w:i/>
          <w:iCs/>
          <w:sz w:val="24"/>
          <w:szCs w:val="24"/>
          <w:u w:val="single"/>
        </w:rPr>
        <w:t>Accounting Matters</w:t>
      </w:r>
    </w:p>
    <w:p w14:paraId="3B4CDADD" w14:textId="5B358192" w:rsidR="00F06A83" w:rsidRPr="003D27D1" w:rsidRDefault="00F06A83" w:rsidP="00EE604E">
      <w:pPr>
        <w:pStyle w:val="ListParagraph"/>
        <w:numPr>
          <w:ilvl w:val="0"/>
          <w:numId w:val="2"/>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 xml:space="preserve">The signatories agreed that </w:t>
      </w:r>
      <w:r w:rsidRPr="003D27D1">
        <w:rPr>
          <w:rFonts w:ascii="Times New Roman" w:hAnsi="Times New Roman" w:cs="Times New Roman"/>
          <w:bCs/>
          <w:sz w:val="24"/>
          <w:szCs w:val="24"/>
        </w:rPr>
        <w:t>CenterPoint Houston shall be permitted, for purposes of future DCRF, TCOS and general rate case proceedings, to reflect Texas Margin Tax (TMT) expense based on the current TMT rate applicable in the period that rates are recovered.</w:t>
      </w:r>
    </w:p>
    <w:p w14:paraId="37733E9B" w14:textId="0F9706E2" w:rsidR="00F06A83" w:rsidRPr="00597B43" w:rsidRDefault="00F06A83" w:rsidP="00EE604E">
      <w:pPr>
        <w:pStyle w:val="ListParagraph"/>
        <w:numPr>
          <w:ilvl w:val="0"/>
          <w:numId w:val="2"/>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The signatories agreed that</w:t>
      </w:r>
      <w:r w:rsidR="008745B8" w:rsidRPr="003D27D1">
        <w:rPr>
          <w:rFonts w:ascii="Times New Roman" w:hAnsi="Times New Roman" w:cs="Times New Roman"/>
          <w:sz w:val="24"/>
          <w:szCs w:val="24"/>
        </w:rPr>
        <w:t xml:space="preserve">, </w:t>
      </w:r>
      <w:r w:rsidR="008745B8" w:rsidRPr="003D27D1">
        <w:rPr>
          <w:rFonts w:ascii="Times New Roman" w:hAnsi="Times New Roman" w:cs="Times New Roman"/>
          <w:bCs/>
          <w:sz w:val="24"/>
          <w:szCs w:val="24"/>
        </w:rPr>
        <w:t>except with respect to EDIT regulatory assets and liabilities</w:t>
      </w:r>
      <w:r w:rsidR="008745B8" w:rsidRPr="003D27D1">
        <w:rPr>
          <w:bCs/>
          <w:sz w:val="24"/>
          <w:szCs w:val="24"/>
        </w:rPr>
        <w:t xml:space="preserve">, </w:t>
      </w:r>
      <w:r w:rsidRPr="003D27D1">
        <w:rPr>
          <w:rFonts w:ascii="Times New Roman" w:hAnsi="Times New Roman" w:cs="Times New Roman"/>
          <w:bCs/>
          <w:sz w:val="24"/>
          <w:szCs w:val="24"/>
        </w:rPr>
        <w:t>with respect to regulatory assets and liabilities maintained on the Company’s books and records and at issue in this proceeding, CenterPoint Houston shall be permitted to amortize those assets and liabilities over five years.</w:t>
      </w:r>
      <w:r w:rsidR="00271BA5">
        <w:rPr>
          <w:rFonts w:ascii="Times New Roman" w:hAnsi="Times New Roman" w:cs="Times New Roman"/>
          <w:bCs/>
          <w:sz w:val="24"/>
          <w:szCs w:val="24"/>
        </w:rPr>
        <w:t xml:space="preserve">  </w:t>
      </w:r>
      <w:r w:rsidR="00271BA5" w:rsidRPr="00597B43">
        <w:rPr>
          <w:rFonts w:ascii="Times New Roman" w:hAnsi="Times New Roman" w:cs="Times New Roman"/>
          <w:sz w:val="24"/>
          <w:szCs w:val="24"/>
        </w:rPr>
        <w:t>The Texas Margin Tax regulatory asset included in CenterPoint Houston’s rate filing package is not considered in the regulatory assets and the amount of the amortization expense referenced in the settlement agreement.</w:t>
      </w:r>
    </w:p>
    <w:p w14:paraId="0C88F5B7" w14:textId="21BAF5EA" w:rsidR="00F06A83" w:rsidRPr="003D27D1" w:rsidRDefault="00F06A83" w:rsidP="00EE604E">
      <w:pPr>
        <w:pStyle w:val="ListParagraph"/>
        <w:numPr>
          <w:ilvl w:val="0"/>
          <w:numId w:val="2"/>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The signatories agreed that CenterPoint Houston’s total Prepaid Pension Asset will be reduced by the capital component identified as Construction Work in Progress (CWIP) and is authorized to apply and recover an amount for AFUDC.</w:t>
      </w:r>
    </w:p>
    <w:p w14:paraId="2F435017" w14:textId="6CC899DA" w:rsidR="00F06A83" w:rsidRPr="003D27D1" w:rsidRDefault="00F06A83" w:rsidP="00EE604E">
      <w:pPr>
        <w:pStyle w:val="ListParagraph"/>
        <w:numPr>
          <w:ilvl w:val="0"/>
          <w:numId w:val="2"/>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The signatories agreed that, w</w:t>
      </w:r>
      <w:r w:rsidRPr="003D27D1">
        <w:rPr>
          <w:rFonts w:ascii="Times New Roman" w:hAnsi="Times New Roman" w:cs="Times New Roman"/>
          <w:bCs/>
          <w:sz w:val="24"/>
          <w:szCs w:val="24"/>
        </w:rPr>
        <w:t>ith exception of rate case expenses</w:t>
      </w:r>
      <w:r w:rsidR="0073263A" w:rsidRPr="003D27D1">
        <w:rPr>
          <w:rFonts w:ascii="Times New Roman" w:hAnsi="Times New Roman" w:cs="Times New Roman"/>
          <w:bCs/>
          <w:sz w:val="24"/>
          <w:szCs w:val="24"/>
        </w:rPr>
        <w:t xml:space="preserve">, </w:t>
      </w:r>
      <w:r w:rsidRPr="003D27D1">
        <w:rPr>
          <w:rFonts w:ascii="Times New Roman" w:hAnsi="Times New Roman" w:cs="Times New Roman"/>
          <w:bCs/>
          <w:sz w:val="24"/>
          <w:szCs w:val="24"/>
        </w:rPr>
        <w:t>nothing in this “black box” Agreement shall be construed in such a way as to require CenterPoint Houston to write off any investment, assets or liabilities currently maintained on its books and records.</w:t>
      </w:r>
    </w:p>
    <w:p w14:paraId="6548DEBD" w14:textId="0A222294" w:rsidR="00F06A83" w:rsidRPr="003D27D1" w:rsidRDefault="00F06A83" w:rsidP="00AC3020">
      <w:pPr>
        <w:keepNext/>
        <w:spacing w:before="120" w:after="0" w:line="360" w:lineRule="auto"/>
        <w:rPr>
          <w:rFonts w:ascii="Times New Roman" w:hAnsi="Times New Roman" w:cs="Times New Roman"/>
          <w:b/>
          <w:bCs/>
          <w:i/>
          <w:iCs/>
          <w:sz w:val="24"/>
          <w:szCs w:val="24"/>
          <w:u w:val="single"/>
        </w:rPr>
      </w:pPr>
      <w:r w:rsidRPr="003D27D1">
        <w:rPr>
          <w:rFonts w:ascii="Times New Roman" w:hAnsi="Times New Roman" w:cs="Times New Roman"/>
          <w:b/>
          <w:bCs/>
          <w:i/>
          <w:iCs/>
          <w:sz w:val="24"/>
          <w:szCs w:val="24"/>
          <w:u w:val="single"/>
        </w:rPr>
        <w:lastRenderedPageBreak/>
        <w:t>Rate Case Expenses</w:t>
      </w:r>
    </w:p>
    <w:p w14:paraId="4A316285" w14:textId="2F614C13" w:rsidR="00F06A83" w:rsidRPr="003D27D1" w:rsidRDefault="00F06A83" w:rsidP="00EE604E">
      <w:pPr>
        <w:pStyle w:val="ListParagraph"/>
        <w:numPr>
          <w:ilvl w:val="0"/>
          <w:numId w:val="2"/>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CenterPoint</w:t>
      </w:r>
      <w:r w:rsidRPr="003D27D1">
        <w:rPr>
          <w:rFonts w:ascii="Times New Roman" w:hAnsi="Times New Roman" w:cs="Times New Roman"/>
          <w:bCs/>
          <w:sz w:val="24"/>
          <w:szCs w:val="24"/>
        </w:rPr>
        <w:t xml:space="preserve"> Houston agreed to reimburse cities participating in this docket for rate case expenses incurred in all dockets subject to Docket No. 49595.  CenterPoint Houston agrees not to seek recovery of rate case expenses requested in Docket No. 49595, including expenses associated with this proceeding, Docket No. 49421, and any appeals of this proceeding.</w:t>
      </w:r>
    </w:p>
    <w:p w14:paraId="2A5B14E7" w14:textId="69E841CA" w:rsidR="00D850B0" w:rsidRPr="003D27D1" w:rsidRDefault="00D850B0" w:rsidP="00EE604E">
      <w:pPr>
        <w:pStyle w:val="ListParagraph"/>
        <w:numPr>
          <w:ilvl w:val="0"/>
          <w:numId w:val="2"/>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 xml:space="preserve">The signatories agreed that cities shall provide CenterPoint Houston with invoices for all rate case expenses incurred within </w:t>
      </w:r>
      <w:r w:rsidR="009907E0">
        <w:rPr>
          <w:rFonts w:ascii="Times New Roman" w:hAnsi="Times New Roman" w:cs="Times New Roman"/>
          <w:sz w:val="24"/>
          <w:szCs w:val="24"/>
        </w:rPr>
        <w:t>10</w:t>
      </w:r>
      <w:r w:rsidRPr="003D27D1">
        <w:rPr>
          <w:rFonts w:ascii="Times New Roman" w:hAnsi="Times New Roman" w:cs="Times New Roman"/>
          <w:sz w:val="24"/>
          <w:szCs w:val="24"/>
        </w:rPr>
        <w:t xml:space="preserve"> days of a final order in this proceeding.  </w:t>
      </w:r>
    </w:p>
    <w:p w14:paraId="692F637D" w14:textId="0E30CCA2" w:rsidR="00D850B0" w:rsidRPr="003D27D1" w:rsidRDefault="00D850B0" w:rsidP="00EE604E">
      <w:pPr>
        <w:pStyle w:val="ListParagraph"/>
        <w:numPr>
          <w:ilvl w:val="0"/>
          <w:numId w:val="2"/>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 xml:space="preserve">The signatories agreed that CenterPoint Houston shall reimburse </w:t>
      </w:r>
      <w:r w:rsidR="009907E0">
        <w:rPr>
          <w:rFonts w:ascii="Times New Roman" w:hAnsi="Times New Roman" w:cs="Times New Roman"/>
          <w:sz w:val="24"/>
          <w:szCs w:val="24"/>
        </w:rPr>
        <w:t>C</w:t>
      </w:r>
      <w:r w:rsidRPr="003D27D1">
        <w:rPr>
          <w:rFonts w:ascii="Times New Roman" w:hAnsi="Times New Roman" w:cs="Times New Roman"/>
          <w:sz w:val="24"/>
          <w:szCs w:val="24"/>
        </w:rPr>
        <w:t xml:space="preserve">ities for rate case expenses included on invoices submitted in accordance with this timeline within 30 days of a final order in this proceeding.  </w:t>
      </w:r>
    </w:p>
    <w:p w14:paraId="46321F87" w14:textId="01272C10" w:rsidR="00D850B0" w:rsidRPr="003D27D1" w:rsidRDefault="00D850B0" w:rsidP="00EE604E">
      <w:pPr>
        <w:pStyle w:val="ListParagraph"/>
        <w:numPr>
          <w:ilvl w:val="0"/>
          <w:numId w:val="2"/>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 xml:space="preserve">The signatories agreed that CenterPoint Houston shall not be required to reimburse </w:t>
      </w:r>
      <w:r w:rsidR="009907E0">
        <w:rPr>
          <w:rFonts w:ascii="Times New Roman" w:hAnsi="Times New Roman" w:cs="Times New Roman"/>
          <w:sz w:val="24"/>
          <w:szCs w:val="24"/>
        </w:rPr>
        <w:t>C</w:t>
      </w:r>
      <w:r w:rsidRPr="003D27D1">
        <w:rPr>
          <w:rFonts w:ascii="Times New Roman" w:hAnsi="Times New Roman" w:cs="Times New Roman"/>
          <w:sz w:val="24"/>
          <w:szCs w:val="24"/>
        </w:rPr>
        <w:t>ities for rate case expenses not included on invoices provided in accordance with this timeline.</w:t>
      </w:r>
    </w:p>
    <w:p w14:paraId="67A4794D" w14:textId="1925476F" w:rsidR="00F06A83" w:rsidRPr="003D27D1" w:rsidRDefault="00FC05AA" w:rsidP="00EE604E">
      <w:pPr>
        <w:pStyle w:val="ListParagraph"/>
        <w:numPr>
          <w:ilvl w:val="0"/>
          <w:numId w:val="2"/>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 xml:space="preserve">The signatories agreed that CenterPoint Houston will </w:t>
      </w:r>
      <w:r w:rsidRPr="003D27D1">
        <w:rPr>
          <w:rFonts w:ascii="Times New Roman" w:hAnsi="Times New Roman" w:cs="Times New Roman"/>
          <w:bCs/>
          <w:sz w:val="24"/>
          <w:szCs w:val="24"/>
        </w:rPr>
        <w:t>withdraw or move to dismiss Docket No. 49595 within 30 days of a final order in this proceeding.</w:t>
      </w:r>
    </w:p>
    <w:p w14:paraId="7ADB962D" w14:textId="77777777" w:rsidR="00FC05AA" w:rsidRPr="003D27D1" w:rsidRDefault="00FC05AA" w:rsidP="00F53750">
      <w:pPr>
        <w:spacing w:before="120" w:after="0" w:line="360" w:lineRule="auto"/>
        <w:rPr>
          <w:rFonts w:ascii="Times New Roman" w:hAnsi="Times New Roman" w:cs="Times New Roman"/>
          <w:b/>
          <w:bCs/>
          <w:i/>
          <w:iCs/>
          <w:sz w:val="24"/>
          <w:szCs w:val="24"/>
          <w:u w:val="single"/>
        </w:rPr>
      </w:pPr>
      <w:r w:rsidRPr="003D27D1">
        <w:rPr>
          <w:rFonts w:ascii="Times New Roman" w:hAnsi="Times New Roman" w:cs="Times New Roman"/>
          <w:b/>
          <w:bCs/>
          <w:i/>
          <w:iCs/>
          <w:sz w:val="24"/>
          <w:szCs w:val="24"/>
          <w:u w:val="single"/>
        </w:rPr>
        <w:t>Affiliate Expenses</w:t>
      </w:r>
    </w:p>
    <w:p w14:paraId="47A794A8" w14:textId="56D200AF" w:rsidR="00FC05AA" w:rsidRPr="003D27D1" w:rsidRDefault="00FC05AA" w:rsidP="00EE604E">
      <w:pPr>
        <w:pStyle w:val="ListParagraph"/>
        <w:numPr>
          <w:ilvl w:val="0"/>
          <w:numId w:val="2"/>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 xml:space="preserve">To the extent that affiliate costs are included in the agreed-to </w:t>
      </w:r>
      <w:r w:rsidR="00C4041B">
        <w:rPr>
          <w:rFonts w:ascii="Times New Roman" w:hAnsi="Times New Roman" w:cs="Times New Roman"/>
          <w:sz w:val="24"/>
          <w:szCs w:val="24"/>
        </w:rPr>
        <w:t>rates</w:t>
      </w:r>
      <w:r w:rsidRPr="003D27D1">
        <w:rPr>
          <w:rFonts w:ascii="Times New Roman" w:hAnsi="Times New Roman" w:cs="Times New Roman"/>
          <w:sz w:val="24"/>
          <w:szCs w:val="24"/>
        </w:rPr>
        <w:t>, they are reasonable and necessary for each class of affiliate costs presented in CenterPoint Houston’s application.</w:t>
      </w:r>
    </w:p>
    <w:p w14:paraId="39564B29" w14:textId="51710D1F" w:rsidR="00FC05AA" w:rsidRPr="003D27D1" w:rsidRDefault="00FC05AA" w:rsidP="00EE604E">
      <w:pPr>
        <w:pStyle w:val="ListParagraph"/>
        <w:numPr>
          <w:ilvl w:val="0"/>
          <w:numId w:val="2"/>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 xml:space="preserve">To the extent that affiliate costs are included in the agreed-to </w:t>
      </w:r>
      <w:r w:rsidR="00C4041B">
        <w:rPr>
          <w:rFonts w:ascii="Times New Roman" w:hAnsi="Times New Roman" w:cs="Times New Roman"/>
          <w:sz w:val="24"/>
          <w:szCs w:val="24"/>
        </w:rPr>
        <w:t>rates</w:t>
      </w:r>
      <w:r w:rsidRPr="003D27D1">
        <w:rPr>
          <w:rFonts w:ascii="Times New Roman" w:hAnsi="Times New Roman" w:cs="Times New Roman"/>
          <w:sz w:val="24"/>
          <w:szCs w:val="24"/>
        </w:rPr>
        <w:t>, the price charged to CenterPoint Houston is not higher than the prices charged by the supplying affiliate for the same item or class of items to its other affiliates or divisions or to a non-affiliated person within the same market area or having the same market conditions.</w:t>
      </w:r>
    </w:p>
    <w:p w14:paraId="721F301C" w14:textId="2CD1975A" w:rsidR="00FC05AA" w:rsidRPr="003D27D1" w:rsidRDefault="00FC05AA" w:rsidP="00F53750">
      <w:pPr>
        <w:spacing w:before="120" w:after="0" w:line="360" w:lineRule="auto"/>
        <w:rPr>
          <w:rFonts w:ascii="Times New Roman" w:hAnsi="Times New Roman" w:cs="Times New Roman"/>
          <w:b/>
          <w:bCs/>
          <w:i/>
          <w:iCs/>
          <w:sz w:val="24"/>
          <w:szCs w:val="24"/>
          <w:u w:val="single"/>
        </w:rPr>
      </w:pPr>
      <w:r w:rsidRPr="003D27D1">
        <w:rPr>
          <w:rFonts w:ascii="Times New Roman" w:hAnsi="Times New Roman" w:cs="Times New Roman"/>
          <w:b/>
          <w:bCs/>
          <w:i/>
          <w:iCs/>
          <w:sz w:val="24"/>
          <w:szCs w:val="24"/>
          <w:u w:val="single"/>
        </w:rPr>
        <w:t>Self-Insurance Reserve</w:t>
      </w:r>
    </w:p>
    <w:p w14:paraId="412A1329" w14:textId="04430E31" w:rsidR="00FC05AA" w:rsidRPr="003D27D1" w:rsidRDefault="00FC05AA" w:rsidP="00EE604E">
      <w:pPr>
        <w:pStyle w:val="ListParagraph"/>
        <w:numPr>
          <w:ilvl w:val="0"/>
          <w:numId w:val="2"/>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 xml:space="preserve">The signatories agreed that CenterPoint Houston’s request for an annual self-insurance reserve accrual of $7.685 million and a new target property insurance reserve of $6.55 million is reasonable and appropriate.  The accrual is comprised of: (1) $3.575 million to provide for average annual expected operations and maintenance (O&amp;M) expense losses from events where losses are greater than $100,000; and (2) $4.11 million accrued annually </w:t>
      </w:r>
      <w:r w:rsidRPr="003D27D1">
        <w:rPr>
          <w:rFonts w:ascii="Times New Roman" w:hAnsi="Times New Roman" w:cs="Times New Roman"/>
          <w:sz w:val="24"/>
          <w:szCs w:val="24"/>
        </w:rPr>
        <w:lastRenderedPageBreak/>
        <w:t>for three years to achieve a target reserve of $6.55 million from the current reserve deficit level of ($5.79 million).</w:t>
      </w:r>
    </w:p>
    <w:p w14:paraId="146866F9" w14:textId="3F5942F2" w:rsidR="00FC05AA" w:rsidRPr="003D27D1" w:rsidRDefault="00FC05AA" w:rsidP="00EE604E">
      <w:pPr>
        <w:pStyle w:val="ListParagraph"/>
        <w:numPr>
          <w:ilvl w:val="0"/>
          <w:numId w:val="2"/>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 xml:space="preserve">The settlement agreement’s treatment of </w:t>
      </w:r>
      <w:r w:rsidR="00B62854" w:rsidRPr="003D27D1">
        <w:rPr>
          <w:rFonts w:ascii="Times New Roman" w:hAnsi="Times New Roman" w:cs="Times New Roman"/>
          <w:sz w:val="24"/>
          <w:szCs w:val="24"/>
        </w:rPr>
        <w:t xml:space="preserve">a </w:t>
      </w:r>
      <w:r w:rsidRPr="003D27D1">
        <w:rPr>
          <w:rFonts w:ascii="Times New Roman" w:hAnsi="Times New Roman" w:cs="Times New Roman"/>
          <w:sz w:val="24"/>
          <w:szCs w:val="24"/>
        </w:rPr>
        <w:t>self-insurance reserve is appropriate.</w:t>
      </w:r>
    </w:p>
    <w:p w14:paraId="4AF049B8" w14:textId="75FBAB5E" w:rsidR="00FC05AA" w:rsidRPr="003D27D1" w:rsidRDefault="00FC05AA" w:rsidP="00EE604E">
      <w:pPr>
        <w:pStyle w:val="ListParagraph"/>
        <w:numPr>
          <w:ilvl w:val="0"/>
          <w:numId w:val="2"/>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CenterPoint Houston’s self-insurance reserve is in the public interest and is a lower-cost alternati</w:t>
      </w:r>
      <w:r w:rsidR="008006C2" w:rsidRPr="003D27D1">
        <w:rPr>
          <w:rFonts w:ascii="Times New Roman" w:hAnsi="Times New Roman" w:cs="Times New Roman"/>
          <w:sz w:val="24"/>
          <w:szCs w:val="24"/>
        </w:rPr>
        <w:t>ve to purchasing commercial insurance.</w:t>
      </w:r>
    </w:p>
    <w:p w14:paraId="478F8B65" w14:textId="4EBD148A" w:rsidR="008006C2" w:rsidRPr="003D27D1" w:rsidRDefault="008006C2" w:rsidP="00EE604E">
      <w:pPr>
        <w:pStyle w:val="ListParagraph"/>
        <w:numPr>
          <w:ilvl w:val="0"/>
          <w:numId w:val="2"/>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CenterPoint Houston’s self-insurance reserve results in savings, and ratepayers will receive the benefit of those savings.</w:t>
      </w:r>
    </w:p>
    <w:p w14:paraId="2BCE6B65" w14:textId="77777777" w:rsidR="00F06A83" w:rsidRPr="003D27D1" w:rsidRDefault="00F06A83" w:rsidP="00F53750">
      <w:pPr>
        <w:spacing w:before="120" w:after="0" w:line="360" w:lineRule="auto"/>
        <w:rPr>
          <w:rFonts w:ascii="Times New Roman" w:hAnsi="Times New Roman" w:cs="Times New Roman"/>
          <w:b/>
          <w:bCs/>
          <w:i/>
          <w:iCs/>
          <w:sz w:val="24"/>
          <w:szCs w:val="24"/>
          <w:u w:val="single"/>
        </w:rPr>
      </w:pPr>
      <w:r w:rsidRPr="003D27D1">
        <w:rPr>
          <w:rFonts w:ascii="Times New Roman" w:hAnsi="Times New Roman" w:cs="Times New Roman"/>
          <w:b/>
          <w:bCs/>
          <w:i/>
          <w:iCs/>
          <w:sz w:val="24"/>
          <w:szCs w:val="24"/>
          <w:u w:val="single"/>
        </w:rPr>
        <w:t>Depreciation</w:t>
      </w:r>
    </w:p>
    <w:p w14:paraId="39D06D12" w14:textId="43529AD6" w:rsidR="00F06A83" w:rsidRPr="003D27D1" w:rsidRDefault="00F06A83" w:rsidP="00EE604E">
      <w:pPr>
        <w:pStyle w:val="ListParagraph"/>
        <w:numPr>
          <w:ilvl w:val="0"/>
          <w:numId w:val="2"/>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Beginning with the effective date of the new rates authorized in this proceeding, CenterPoint Houston will use the depreciation rates as proposed in the direct testimony of CenterPoint Houston witness Dane Watson (CEHE Ex. 25</w:t>
      </w:r>
      <w:r w:rsidR="006E18C1">
        <w:rPr>
          <w:rFonts w:ascii="Times New Roman" w:hAnsi="Times New Roman" w:cs="Times New Roman"/>
          <w:sz w:val="24"/>
          <w:szCs w:val="24"/>
        </w:rPr>
        <w:t xml:space="preserve"> and Exhibit F to the settlement agreement</w:t>
      </w:r>
      <w:r w:rsidRPr="003D27D1">
        <w:rPr>
          <w:rFonts w:ascii="Times New Roman" w:hAnsi="Times New Roman" w:cs="Times New Roman"/>
          <w:sz w:val="24"/>
          <w:szCs w:val="24"/>
        </w:rPr>
        <w:t xml:space="preserve">).  </w:t>
      </w:r>
    </w:p>
    <w:p w14:paraId="57572405" w14:textId="37054965" w:rsidR="00F06A83" w:rsidRPr="003D27D1" w:rsidRDefault="00F06A83" w:rsidP="00EE604E">
      <w:pPr>
        <w:pStyle w:val="ListParagraph"/>
        <w:numPr>
          <w:ilvl w:val="0"/>
          <w:numId w:val="2"/>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The treatment of depreciation rates in the settlement agreement is appropriate.</w:t>
      </w:r>
    </w:p>
    <w:p w14:paraId="60DD6907" w14:textId="547ABB2F" w:rsidR="008006C2" w:rsidRPr="003D27D1" w:rsidRDefault="008006C2" w:rsidP="00F53750">
      <w:pPr>
        <w:spacing w:before="120" w:after="0" w:line="360" w:lineRule="auto"/>
        <w:rPr>
          <w:rFonts w:ascii="Times New Roman" w:hAnsi="Times New Roman" w:cs="Times New Roman"/>
          <w:b/>
          <w:bCs/>
          <w:i/>
          <w:iCs/>
          <w:sz w:val="24"/>
          <w:szCs w:val="24"/>
          <w:u w:val="single"/>
        </w:rPr>
      </w:pPr>
      <w:r w:rsidRPr="003D27D1">
        <w:rPr>
          <w:rFonts w:ascii="Times New Roman" w:hAnsi="Times New Roman" w:cs="Times New Roman"/>
          <w:b/>
          <w:bCs/>
          <w:i/>
          <w:iCs/>
          <w:sz w:val="24"/>
          <w:szCs w:val="24"/>
          <w:u w:val="single"/>
        </w:rPr>
        <w:t>Pension and Other Postemployment Benefit Baselines</w:t>
      </w:r>
    </w:p>
    <w:p w14:paraId="23F77732" w14:textId="381588C9" w:rsidR="00F06A83" w:rsidRPr="003D27D1" w:rsidRDefault="008006C2" w:rsidP="00EE604E">
      <w:pPr>
        <w:pStyle w:val="ListParagraph"/>
        <w:numPr>
          <w:ilvl w:val="0"/>
          <w:numId w:val="2"/>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The signatories agreed that CenterPoint Houston’s Pension and Other Postemployment Benefits (OPEB) Baselines are $2</w:t>
      </w:r>
      <w:r w:rsidR="00EA56FF">
        <w:rPr>
          <w:rFonts w:ascii="Times New Roman" w:hAnsi="Times New Roman" w:cs="Times New Roman"/>
          <w:sz w:val="24"/>
          <w:szCs w:val="24"/>
        </w:rPr>
        <w:t>3</w:t>
      </w:r>
      <w:r w:rsidRPr="003D27D1">
        <w:rPr>
          <w:rFonts w:ascii="Times New Roman" w:hAnsi="Times New Roman" w:cs="Times New Roman"/>
          <w:sz w:val="24"/>
          <w:szCs w:val="24"/>
        </w:rPr>
        <w:t>,</w:t>
      </w:r>
      <w:r w:rsidR="00EA56FF">
        <w:rPr>
          <w:rFonts w:ascii="Times New Roman" w:hAnsi="Times New Roman" w:cs="Times New Roman"/>
          <w:sz w:val="24"/>
          <w:szCs w:val="24"/>
        </w:rPr>
        <w:t>853</w:t>
      </w:r>
      <w:r w:rsidRPr="003D27D1">
        <w:rPr>
          <w:rFonts w:ascii="Times New Roman" w:hAnsi="Times New Roman" w:cs="Times New Roman"/>
          <w:sz w:val="24"/>
          <w:szCs w:val="24"/>
        </w:rPr>
        <w:t>,</w:t>
      </w:r>
      <w:r w:rsidR="00EA56FF">
        <w:rPr>
          <w:rFonts w:ascii="Times New Roman" w:hAnsi="Times New Roman" w:cs="Times New Roman"/>
          <w:sz w:val="24"/>
          <w:szCs w:val="24"/>
        </w:rPr>
        <w:t>739</w:t>
      </w:r>
      <w:r w:rsidRPr="003D27D1">
        <w:rPr>
          <w:rFonts w:ascii="Times New Roman" w:hAnsi="Times New Roman" w:cs="Times New Roman"/>
          <w:sz w:val="24"/>
          <w:szCs w:val="24"/>
        </w:rPr>
        <w:t xml:space="preserve"> for pension and $2,671,274 for OPEB expense and are consistent with PURA § 36.065.  The combined total of $2</w:t>
      </w:r>
      <w:r w:rsidR="00EA56FF">
        <w:rPr>
          <w:rFonts w:ascii="Times New Roman" w:hAnsi="Times New Roman" w:cs="Times New Roman"/>
          <w:sz w:val="24"/>
          <w:szCs w:val="24"/>
        </w:rPr>
        <w:t>6</w:t>
      </w:r>
      <w:r w:rsidRPr="003D27D1">
        <w:rPr>
          <w:rFonts w:ascii="Times New Roman" w:hAnsi="Times New Roman" w:cs="Times New Roman"/>
          <w:sz w:val="24"/>
          <w:szCs w:val="24"/>
        </w:rPr>
        <w:t>,</w:t>
      </w:r>
      <w:r w:rsidR="00EA56FF">
        <w:rPr>
          <w:rFonts w:ascii="Times New Roman" w:hAnsi="Times New Roman" w:cs="Times New Roman"/>
          <w:sz w:val="24"/>
          <w:szCs w:val="24"/>
        </w:rPr>
        <w:t>525</w:t>
      </w:r>
      <w:r w:rsidRPr="003D27D1">
        <w:rPr>
          <w:rFonts w:ascii="Times New Roman" w:hAnsi="Times New Roman" w:cs="Times New Roman"/>
          <w:sz w:val="24"/>
          <w:szCs w:val="24"/>
        </w:rPr>
        <w:t>,</w:t>
      </w:r>
      <w:r w:rsidR="00EA56FF">
        <w:rPr>
          <w:rFonts w:ascii="Times New Roman" w:hAnsi="Times New Roman" w:cs="Times New Roman"/>
          <w:sz w:val="24"/>
          <w:szCs w:val="24"/>
        </w:rPr>
        <w:t>013</w:t>
      </w:r>
      <w:r w:rsidRPr="003D27D1">
        <w:rPr>
          <w:rFonts w:ascii="Times New Roman" w:hAnsi="Times New Roman" w:cs="Times New Roman"/>
          <w:sz w:val="24"/>
          <w:szCs w:val="24"/>
        </w:rPr>
        <w:t xml:space="preserve"> is comprised of the amount for CenterPoint Houston of $19,</w:t>
      </w:r>
      <w:r w:rsidR="00EA56FF">
        <w:rPr>
          <w:rFonts w:ascii="Times New Roman" w:hAnsi="Times New Roman" w:cs="Times New Roman"/>
          <w:sz w:val="24"/>
          <w:szCs w:val="24"/>
        </w:rPr>
        <w:t>627</w:t>
      </w:r>
      <w:r w:rsidRPr="003D27D1">
        <w:rPr>
          <w:rFonts w:ascii="Times New Roman" w:hAnsi="Times New Roman" w:cs="Times New Roman"/>
          <w:sz w:val="24"/>
          <w:szCs w:val="24"/>
        </w:rPr>
        <w:t>,</w:t>
      </w:r>
      <w:r w:rsidR="00EA56FF">
        <w:rPr>
          <w:rFonts w:ascii="Times New Roman" w:hAnsi="Times New Roman" w:cs="Times New Roman"/>
          <w:sz w:val="24"/>
          <w:szCs w:val="24"/>
        </w:rPr>
        <w:t>483</w:t>
      </w:r>
      <w:r w:rsidRPr="003D27D1">
        <w:rPr>
          <w:rFonts w:ascii="Times New Roman" w:hAnsi="Times New Roman" w:cs="Times New Roman"/>
          <w:sz w:val="24"/>
          <w:szCs w:val="24"/>
        </w:rPr>
        <w:t xml:space="preserve"> and Service Company of $</w:t>
      </w:r>
      <w:r w:rsidR="00EA56FF">
        <w:rPr>
          <w:rFonts w:ascii="Times New Roman" w:hAnsi="Times New Roman" w:cs="Times New Roman"/>
          <w:sz w:val="24"/>
          <w:szCs w:val="24"/>
        </w:rPr>
        <w:t>6</w:t>
      </w:r>
      <w:r w:rsidRPr="003D27D1">
        <w:rPr>
          <w:rFonts w:ascii="Times New Roman" w:hAnsi="Times New Roman" w:cs="Times New Roman"/>
          <w:sz w:val="24"/>
          <w:szCs w:val="24"/>
        </w:rPr>
        <w:t>,</w:t>
      </w:r>
      <w:r w:rsidR="00EA56FF">
        <w:rPr>
          <w:rFonts w:ascii="Times New Roman" w:hAnsi="Times New Roman" w:cs="Times New Roman"/>
          <w:sz w:val="24"/>
          <w:szCs w:val="24"/>
        </w:rPr>
        <w:t>897</w:t>
      </w:r>
      <w:r w:rsidRPr="003D27D1">
        <w:rPr>
          <w:rFonts w:ascii="Times New Roman" w:hAnsi="Times New Roman" w:cs="Times New Roman"/>
          <w:sz w:val="24"/>
          <w:szCs w:val="24"/>
        </w:rPr>
        <w:t>,</w:t>
      </w:r>
      <w:r w:rsidR="00EA56FF">
        <w:rPr>
          <w:rFonts w:ascii="Times New Roman" w:hAnsi="Times New Roman" w:cs="Times New Roman"/>
          <w:sz w:val="24"/>
          <w:szCs w:val="24"/>
        </w:rPr>
        <w:t>530</w:t>
      </w:r>
      <w:r w:rsidRPr="003D27D1">
        <w:rPr>
          <w:rFonts w:ascii="Times New Roman" w:hAnsi="Times New Roman" w:cs="Times New Roman"/>
          <w:sz w:val="24"/>
          <w:szCs w:val="24"/>
        </w:rPr>
        <w:t>.</w:t>
      </w:r>
    </w:p>
    <w:p w14:paraId="6423F50D" w14:textId="75F888B4" w:rsidR="00B62854" w:rsidRPr="003D27D1" w:rsidRDefault="00B62854" w:rsidP="00EE604E">
      <w:pPr>
        <w:pStyle w:val="ListParagraph"/>
        <w:numPr>
          <w:ilvl w:val="0"/>
          <w:numId w:val="2"/>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The baselines for CenterPoint Houston’s Pension and OPEB expense are reasonable and appropriate.</w:t>
      </w:r>
    </w:p>
    <w:p w14:paraId="047FFFF3" w14:textId="7D88F289" w:rsidR="008006C2" w:rsidRPr="003D27D1" w:rsidRDefault="008006C2" w:rsidP="00F53750">
      <w:pPr>
        <w:spacing w:before="120" w:after="0" w:line="360" w:lineRule="auto"/>
        <w:rPr>
          <w:rFonts w:ascii="Times New Roman" w:hAnsi="Times New Roman" w:cs="Times New Roman"/>
          <w:b/>
          <w:bCs/>
          <w:i/>
          <w:iCs/>
          <w:sz w:val="24"/>
          <w:szCs w:val="24"/>
          <w:u w:val="single"/>
        </w:rPr>
      </w:pPr>
      <w:r w:rsidRPr="003D27D1">
        <w:rPr>
          <w:rFonts w:ascii="Times New Roman" w:hAnsi="Times New Roman" w:cs="Times New Roman"/>
          <w:b/>
          <w:bCs/>
          <w:i/>
          <w:iCs/>
          <w:sz w:val="24"/>
          <w:szCs w:val="24"/>
          <w:u w:val="single"/>
        </w:rPr>
        <w:t>Interim Update of Transmission Rates</w:t>
      </w:r>
    </w:p>
    <w:p w14:paraId="2DD506F3" w14:textId="3C667DCB" w:rsidR="008006C2" w:rsidRPr="00597B43" w:rsidRDefault="008006C2" w:rsidP="00EE604E">
      <w:pPr>
        <w:pStyle w:val="ListParagraph"/>
        <w:numPr>
          <w:ilvl w:val="0"/>
          <w:numId w:val="2"/>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 xml:space="preserve">The signatories agreed that when CenterPoint Houston files an application to update its transmission rates on an interim basis pursuant to 16 TAC § 25.192(h), the baseline values to be used in that application are as provided in Exhibit </w:t>
      </w:r>
      <w:r w:rsidRPr="00597B43">
        <w:rPr>
          <w:rFonts w:ascii="Times New Roman" w:hAnsi="Times New Roman" w:cs="Times New Roman"/>
          <w:sz w:val="24"/>
          <w:szCs w:val="24"/>
        </w:rPr>
        <w:t>G to the settlement agreement.</w:t>
      </w:r>
      <w:r w:rsidRPr="00597B43">
        <w:rPr>
          <w:sz w:val="24"/>
          <w:szCs w:val="24"/>
        </w:rPr>
        <w:t xml:space="preserve">  </w:t>
      </w:r>
    </w:p>
    <w:p w14:paraId="1E176DC0" w14:textId="687F98CD" w:rsidR="008006C2" w:rsidRPr="003D27D1" w:rsidRDefault="008006C2" w:rsidP="00EE604E">
      <w:pPr>
        <w:pStyle w:val="ListParagraph"/>
        <w:numPr>
          <w:ilvl w:val="0"/>
          <w:numId w:val="2"/>
        </w:numPr>
        <w:spacing w:before="120" w:after="0" w:line="360" w:lineRule="auto"/>
        <w:ind w:hanging="720"/>
        <w:contextualSpacing w:val="0"/>
        <w:rPr>
          <w:rFonts w:ascii="Times New Roman" w:hAnsi="Times New Roman" w:cs="Times New Roman"/>
          <w:sz w:val="24"/>
          <w:szCs w:val="24"/>
        </w:rPr>
      </w:pPr>
      <w:r w:rsidRPr="00597B43">
        <w:rPr>
          <w:rFonts w:ascii="Times New Roman" w:hAnsi="Times New Roman" w:cs="Times New Roman"/>
          <w:sz w:val="24"/>
          <w:szCs w:val="24"/>
        </w:rPr>
        <w:t>It is appropriate for CenterPoint Houston to use the baseline values set forth in Exhibit G</w:t>
      </w:r>
      <w:r w:rsidRPr="003D27D1">
        <w:rPr>
          <w:rFonts w:ascii="Times New Roman" w:hAnsi="Times New Roman" w:cs="Times New Roman"/>
          <w:sz w:val="24"/>
          <w:szCs w:val="24"/>
        </w:rPr>
        <w:t xml:space="preserve"> to the settlement agreement.</w:t>
      </w:r>
    </w:p>
    <w:p w14:paraId="66AFE97E" w14:textId="5238FD2D" w:rsidR="008006C2" w:rsidRPr="003D27D1" w:rsidRDefault="000F7845" w:rsidP="00F53750">
      <w:pPr>
        <w:spacing w:before="120" w:after="0" w:line="360" w:lineRule="auto"/>
        <w:rPr>
          <w:rFonts w:ascii="Times New Roman" w:hAnsi="Times New Roman" w:cs="Times New Roman"/>
          <w:b/>
          <w:bCs/>
          <w:i/>
          <w:iCs/>
          <w:sz w:val="24"/>
          <w:szCs w:val="24"/>
          <w:u w:val="single"/>
        </w:rPr>
      </w:pPr>
      <w:r w:rsidRPr="003D27D1">
        <w:rPr>
          <w:rFonts w:ascii="Times New Roman" w:hAnsi="Times New Roman" w:cs="Times New Roman"/>
          <w:b/>
          <w:bCs/>
          <w:i/>
          <w:iCs/>
          <w:sz w:val="24"/>
          <w:szCs w:val="24"/>
          <w:u w:val="single"/>
        </w:rPr>
        <w:lastRenderedPageBreak/>
        <w:t xml:space="preserve">Baseline Values for </w:t>
      </w:r>
      <w:r w:rsidR="008006C2" w:rsidRPr="003D27D1">
        <w:rPr>
          <w:rFonts w:ascii="Times New Roman" w:hAnsi="Times New Roman" w:cs="Times New Roman"/>
          <w:b/>
          <w:bCs/>
          <w:i/>
          <w:iCs/>
          <w:sz w:val="24"/>
          <w:szCs w:val="24"/>
          <w:u w:val="single"/>
        </w:rPr>
        <w:t>Transmission Cost Recovery Factor (TCRF)</w:t>
      </w:r>
      <w:r w:rsidRPr="003D27D1">
        <w:rPr>
          <w:rFonts w:ascii="Times New Roman" w:hAnsi="Times New Roman" w:cs="Times New Roman"/>
          <w:b/>
          <w:bCs/>
          <w:i/>
          <w:iCs/>
          <w:sz w:val="24"/>
          <w:szCs w:val="24"/>
          <w:u w:val="single"/>
        </w:rPr>
        <w:t xml:space="preserve"> Filings</w:t>
      </w:r>
    </w:p>
    <w:p w14:paraId="3BC70473" w14:textId="205E95CC" w:rsidR="006C7BF1" w:rsidRPr="00EA56FF" w:rsidRDefault="006C7BF1" w:rsidP="006C7BF1">
      <w:pPr>
        <w:pStyle w:val="ListParagraph"/>
        <w:numPr>
          <w:ilvl w:val="0"/>
          <w:numId w:val="2"/>
        </w:numPr>
        <w:spacing w:before="120" w:after="0" w:line="360" w:lineRule="auto"/>
        <w:ind w:hanging="720"/>
        <w:contextualSpacing w:val="0"/>
        <w:rPr>
          <w:sz w:val="24"/>
          <w:szCs w:val="24"/>
        </w:rPr>
      </w:pPr>
      <w:r w:rsidRPr="003D27D1">
        <w:rPr>
          <w:rFonts w:ascii="Times New Roman" w:hAnsi="Times New Roman" w:cs="Times New Roman"/>
          <w:sz w:val="24"/>
          <w:szCs w:val="24"/>
        </w:rPr>
        <w:t xml:space="preserve">The signatories agreed that the baseline values to be used in CenterPoint Houston’s future TCRF filed pursuant to 16 TAC § 25.193 are those values set forth in Exhibit </w:t>
      </w:r>
      <w:r w:rsidRPr="00597B43">
        <w:rPr>
          <w:rFonts w:ascii="Times New Roman" w:hAnsi="Times New Roman" w:cs="Times New Roman"/>
          <w:sz w:val="24"/>
          <w:szCs w:val="24"/>
        </w:rPr>
        <w:t>H</w:t>
      </w:r>
      <w:r w:rsidRPr="003D27D1">
        <w:rPr>
          <w:rFonts w:ascii="Times New Roman" w:hAnsi="Times New Roman" w:cs="Times New Roman"/>
          <w:sz w:val="24"/>
          <w:szCs w:val="24"/>
        </w:rPr>
        <w:t xml:space="preserve"> to the settlement agreement.</w:t>
      </w:r>
    </w:p>
    <w:p w14:paraId="67A56502" w14:textId="0422E928" w:rsidR="00EA56FF" w:rsidRPr="006C1666" w:rsidRDefault="00EA56FF" w:rsidP="006C7BF1">
      <w:pPr>
        <w:pStyle w:val="ListParagraph"/>
        <w:numPr>
          <w:ilvl w:val="0"/>
          <w:numId w:val="2"/>
        </w:numPr>
        <w:spacing w:before="120" w:after="0" w:line="360" w:lineRule="auto"/>
        <w:ind w:hanging="720"/>
        <w:contextualSpacing w:val="0"/>
        <w:rPr>
          <w:rFonts w:ascii="Times New Roman" w:hAnsi="Times New Roman" w:cs="Times New Roman"/>
          <w:sz w:val="24"/>
          <w:szCs w:val="24"/>
        </w:rPr>
      </w:pPr>
      <w:r w:rsidRPr="006C1666">
        <w:rPr>
          <w:rFonts w:ascii="Times New Roman" w:hAnsi="Times New Roman" w:cs="Times New Roman"/>
          <w:sz w:val="24"/>
          <w:szCs w:val="24"/>
        </w:rPr>
        <w:t xml:space="preserve">The signatories agreed that the TCRF rates set following this proceeding will reflect CenterPoint Houston’s updated TCRF, as approved in Commission Docket No. 50294.  </w:t>
      </w:r>
    </w:p>
    <w:p w14:paraId="3B77B6CD" w14:textId="77777777" w:rsidR="000F7845" w:rsidRPr="003D27D1" w:rsidRDefault="000F7845" w:rsidP="00EE604E">
      <w:pPr>
        <w:pStyle w:val="ListParagraph"/>
        <w:numPr>
          <w:ilvl w:val="0"/>
          <w:numId w:val="2"/>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The settlement agreement’s treatment of the baseline values for TCRF filings is appropriate.</w:t>
      </w:r>
    </w:p>
    <w:p w14:paraId="184C2AA8" w14:textId="6D4F17E1" w:rsidR="000F7845" w:rsidRPr="003D27D1" w:rsidRDefault="000F7845" w:rsidP="00336725">
      <w:pPr>
        <w:keepNext/>
        <w:spacing w:before="120" w:after="0" w:line="360" w:lineRule="auto"/>
        <w:rPr>
          <w:rFonts w:ascii="Times New Roman" w:hAnsi="Times New Roman" w:cs="Times New Roman"/>
          <w:b/>
          <w:bCs/>
          <w:i/>
          <w:iCs/>
          <w:sz w:val="24"/>
          <w:szCs w:val="24"/>
          <w:u w:val="single"/>
        </w:rPr>
      </w:pPr>
      <w:r w:rsidRPr="003D27D1">
        <w:rPr>
          <w:rFonts w:ascii="Times New Roman" w:hAnsi="Times New Roman" w:cs="Times New Roman"/>
          <w:b/>
          <w:bCs/>
          <w:i/>
          <w:iCs/>
          <w:sz w:val="24"/>
          <w:szCs w:val="24"/>
          <w:u w:val="single"/>
        </w:rPr>
        <w:t>Baseline Values for Distribution Cost Recovery Factor (DCRF) Filings</w:t>
      </w:r>
    </w:p>
    <w:p w14:paraId="0AD27006" w14:textId="7F94E25F" w:rsidR="000F7845" w:rsidRPr="003D27D1" w:rsidRDefault="006C7BF1" w:rsidP="00EE604E">
      <w:pPr>
        <w:pStyle w:val="ListParagraph"/>
        <w:numPr>
          <w:ilvl w:val="0"/>
          <w:numId w:val="2"/>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 xml:space="preserve">The signatories agreed that the baseline values to be used in CenterPoint Houston’s future DCRF filing made pursuant to 16 TAC § 25.243 shall be those set out in Exhibit </w:t>
      </w:r>
      <w:r w:rsidRPr="00597B43">
        <w:rPr>
          <w:rFonts w:ascii="Times New Roman" w:hAnsi="Times New Roman" w:cs="Times New Roman"/>
          <w:sz w:val="24"/>
          <w:szCs w:val="24"/>
        </w:rPr>
        <w:t>I</w:t>
      </w:r>
      <w:r w:rsidRPr="003D27D1">
        <w:rPr>
          <w:rFonts w:ascii="Times New Roman" w:hAnsi="Times New Roman" w:cs="Times New Roman"/>
          <w:sz w:val="24"/>
          <w:szCs w:val="24"/>
        </w:rPr>
        <w:t xml:space="preserve"> to the settlement agreement.</w:t>
      </w:r>
    </w:p>
    <w:p w14:paraId="02A5CA42" w14:textId="6DAC20AC" w:rsidR="000F7845" w:rsidRPr="003D27D1" w:rsidRDefault="000F7845" w:rsidP="00EE604E">
      <w:pPr>
        <w:pStyle w:val="ListParagraph"/>
        <w:numPr>
          <w:ilvl w:val="0"/>
          <w:numId w:val="2"/>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The settlement agreement’s treatment of the baseline values for DCRF filings is appropriate.</w:t>
      </w:r>
    </w:p>
    <w:p w14:paraId="3EEEA9E9" w14:textId="77777777" w:rsidR="008B0E13" w:rsidRPr="003D27D1" w:rsidRDefault="00CF73B6" w:rsidP="00221902">
      <w:pPr>
        <w:spacing w:before="240" w:after="120" w:line="240" w:lineRule="auto"/>
        <w:jc w:val="center"/>
        <w:rPr>
          <w:rFonts w:ascii="Times New Roman" w:hAnsi="Times New Roman" w:cs="Times New Roman"/>
          <w:b/>
          <w:bCs/>
          <w:sz w:val="24"/>
          <w:szCs w:val="24"/>
        </w:rPr>
      </w:pPr>
      <w:r w:rsidRPr="003D27D1">
        <w:rPr>
          <w:rFonts w:ascii="Times New Roman" w:hAnsi="Times New Roman" w:cs="Times New Roman"/>
          <w:b/>
          <w:bCs/>
          <w:sz w:val="24"/>
          <w:szCs w:val="24"/>
        </w:rPr>
        <w:t>II.</w:t>
      </w:r>
      <w:r w:rsidRPr="003D27D1">
        <w:rPr>
          <w:rFonts w:ascii="Times New Roman" w:hAnsi="Times New Roman" w:cs="Times New Roman"/>
          <w:b/>
          <w:bCs/>
          <w:sz w:val="24"/>
          <w:szCs w:val="24"/>
        </w:rPr>
        <w:tab/>
        <w:t>Conclusions of Law</w:t>
      </w:r>
    </w:p>
    <w:p w14:paraId="64F921C4" w14:textId="77777777" w:rsidR="00CF73B6" w:rsidRPr="003D27D1" w:rsidRDefault="00CF73B6" w:rsidP="00221902">
      <w:pPr>
        <w:pStyle w:val="ListParagraph"/>
        <w:numPr>
          <w:ilvl w:val="0"/>
          <w:numId w:val="3"/>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CenterPoint Houston is a public utility as that term is defined in PURA § 11.004(1) and an electric utility as that term is defined in PURA § 31.002(b).</w:t>
      </w:r>
    </w:p>
    <w:p w14:paraId="1246107F" w14:textId="77777777" w:rsidR="00CF73B6" w:rsidRPr="003D27D1" w:rsidRDefault="00CF73B6" w:rsidP="00221902">
      <w:pPr>
        <w:pStyle w:val="ListParagraph"/>
        <w:numPr>
          <w:ilvl w:val="0"/>
          <w:numId w:val="3"/>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The Commission has jurisdiction over this matter under PURA</w:t>
      </w:r>
      <w:r w:rsidR="00E33AC4" w:rsidRPr="003D27D1">
        <w:rPr>
          <w:rStyle w:val="FootnoteReference"/>
          <w:rFonts w:ascii="Times New Roman" w:hAnsi="Times New Roman" w:cs="Times New Roman"/>
          <w:sz w:val="24"/>
          <w:szCs w:val="24"/>
        </w:rPr>
        <w:footnoteReference w:id="1"/>
      </w:r>
      <w:r w:rsidRPr="003D27D1">
        <w:rPr>
          <w:rFonts w:ascii="Times New Roman" w:hAnsi="Times New Roman" w:cs="Times New Roman"/>
          <w:sz w:val="24"/>
          <w:szCs w:val="24"/>
        </w:rPr>
        <w:t xml:space="preserve"> §§ 14.001, 32.001, 33.051, 36.001 through 36.211, and 39.552.</w:t>
      </w:r>
    </w:p>
    <w:p w14:paraId="323969ED" w14:textId="77777777" w:rsidR="00CF73B6" w:rsidRPr="003D27D1" w:rsidRDefault="00CF73B6" w:rsidP="00221902">
      <w:pPr>
        <w:pStyle w:val="ListParagraph"/>
        <w:numPr>
          <w:ilvl w:val="0"/>
          <w:numId w:val="3"/>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 xml:space="preserve">The Commission has jurisdiction over an appeal from municipalities’ rate proceedings under PURA </w:t>
      </w:r>
      <w:r w:rsidR="00E33AC4" w:rsidRPr="003D27D1">
        <w:rPr>
          <w:rFonts w:ascii="Times New Roman" w:hAnsi="Times New Roman" w:cs="Times New Roman"/>
          <w:sz w:val="24"/>
          <w:szCs w:val="24"/>
        </w:rPr>
        <w:t>§ 33.051.</w:t>
      </w:r>
    </w:p>
    <w:p w14:paraId="51EF8572" w14:textId="4B43C6F1" w:rsidR="00E33AC4" w:rsidRPr="003D27D1" w:rsidRDefault="00E33AC4" w:rsidP="00221902">
      <w:pPr>
        <w:pStyle w:val="ListParagraph"/>
        <w:numPr>
          <w:ilvl w:val="0"/>
          <w:numId w:val="3"/>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The Commission processed the application in accordance with the requirement of PURA, the Administrative Procedure Act,</w:t>
      </w:r>
      <w:r w:rsidRPr="003D27D1">
        <w:rPr>
          <w:rStyle w:val="FootnoteReference"/>
          <w:rFonts w:ascii="Times New Roman" w:hAnsi="Times New Roman" w:cs="Times New Roman"/>
          <w:sz w:val="24"/>
          <w:szCs w:val="24"/>
        </w:rPr>
        <w:footnoteReference w:id="2"/>
      </w:r>
      <w:r w:rsidRPr="003D27D1">
        <w:rPr>
          <w:rFonts w:ascii="Times New Roman" w:hAnsi="Times New Roman" w:cs="Times New Roman"/>
          <w:sz w:val="24"/>
          <w:szCs w:val="24"/>
        </w:rPr>
        <w:t xml:space="preserve"> and Commission rules.</w:t>
      </w:r>
    </w:p>
    <w:p w14:paraId="0233EA44" w14:textId="224A0410" w:rsidR="00561E83" w:rsidRPr="003D27D1" w:rsidRDefault="00561E83" w:rsidP="00561E83">
      <w:pPr>
        <w:pStyle w:val="ListParagraph"/>
        <w:numPr>
          <w:ilvl w:val="0"/>
          <w:numId w:val="3"/>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The Commission</w:t>
      </w:r>
      <w:r w:rsidR="00F321E8" w:rsidRPr="003D27D1">
        <w:rPr>
          <w:rFonts w:ascii="Times New Roman" w:hAnsi="Times New Roman" w:cs="Times New Roman"/>
          <w:sz w:val="24"/>
          <w:szCs w:val="24"/>
        </w:rPr>
        <w:t>’s approval of the settlement is</w:t>
      </w:r>
      <w:r w:rsidRPr="003D27D1">
        <w:rPr>
          <w:rFonts w:ascii="Times New Roman" w:hAnsi="Times New Roman" w:cs="Times New Roman"/>
          <w:sz w:val="24"/>
          <w:szCs w:val="24"/>
        </w:rPr>
        <w:t xml:space="preserve"> in accordance with the requirement of PURA, the Administrative Procedure Act,</w:t>
      </w:r>
      <w:r w:rsidRPr="003D27D1">
        <w:rPr>
          <w:rStyle w:val="FootnoteReference"/>
          <w:rFonts w:ascii="Times New Roman" w:hAnsi="Times New Roman" w:cs="Times New Roman"/>
          <w:sz w:val="24"/>
          <w:szCs w:val="24"/>
        </w:rPr>
        <w:footnoteReference w:id="3"/>
      </w:r>
      <w:r w:rsidRPr="003D27D1">
        <w:rPr>
          <w:rFonts w:ascii="Times New Roman" w:hAnsi="Times New Roman" w:cs="Times New Roman"/>
          <w:sz w:val="24"/>
          <w:szCs w:val="24"/>
        </w:rPr>
        <w:t xml:space="preserve"> and Commission rules.</w:t>
      </w:r>
    </w:p>
    <w:p w14:paraId="4C7A063B" w14:textId="77777777" w:rsidR="00837548" w:rsidRPr="003D27D1" w:rsidRDefault="00837548" w:rsidP="00221902">
      <w:pPr>
        <w:pStyle w:val="ListParagraph"/>
        <w:numPr>
          <w:ilvl w:val="0"/>
          <w:numId w:val="3"/>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lastRenderedPageBreak/>
        <w:t>SOAH exercised jurisdiction over this proceeding under PURA § 14.053 and Texas Government Code § 2003.049.</w:t>
      </w:r>
    </w:p>
    <w:p w14:paraId="492D3310" w14:textId="77777777" w:rsidR="00837548" w:rsidRPr="003D27D1" w:rsidRDefault="00837548" w:rsidP="00221902">
      <w:pPr>
        <w:pStyle w:val="ListParagraph"/>
        <w:numPr>
          <w:ilvl w:val="0"/>
          <w:numId w:val="3"/>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CenterPoint Houston provided notice of the application in compliance with PURA § 36.103 and 16 TAC § 22.51(a) and filed affidavits attesting to the completion of notice in compliance with 16 TAC § 22.51(d).</w:t>
      </w:r>
    </w:p>
    <w:p w14:paraId="145E8705" w14:textId="77777777" w:rsidR="00837548" w:rsidRPr="003D27D1" w:rsidRDefault="00837548" w:rsidP="00221902">
      <w:pPr>
        <w:pStyle w:val="ListParagraph"/>
        <w:numPr>
          <w:ilvl w:val="0"/>
          <w:numId w:val="3"/>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The hearing on the merits was set and notice of the hearing was given in compliance with Texas Government Code §§ 2001.051 and 2001.052.</w:t>
      </w:r>
    </w:p>
    <w:p w14:paraId="71AD355C" w14:textId="77777777" w:rsidR="00837548" w:rsidRPr="003D27D1" w:rsidRDefault="00837548" w:rsidP="00221902">
      <w:pPr>
        <w:pStyle w:val="ListParagraph"/>
        <w:numPr>
          <w:ilvl w:val="0"/>
          <w:numId w:val="3"/>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The rates approved in this Order are just and reasonable; are not unreasonably preferential, prejudicial, or discriminatory; are sufficient, equitable, and consistent in application to each consumer class; and meet the requirements of PURA § 36.003.</w:t>
      </w:r>
    </w:p>
    <w:p w14:paraId="188DBC9E" w14:textId="77777777" w:rsidR="00837548" w:rsidRPr="003D27D1" w:rsidRDefault="00837548" w:rsidP="00221902">
      <w:pPr>
        <w:pStyle w:val="ListParagraph"/>
        <w:numPr>
          <w:ilvl w:val="0"/>
          <w:numId w:val="3"/>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In accordance with PURA § 36.051, the rates approved in this Order permit CenterPoint Houston a reasonable opportunity to earn a reasonable return on its invested capital used and useful in providing service to the public in excess of its reasonable and necessary operating expenses.</w:t>
      </w:r>
    </w:p>
    <w:p w14:paraId="0F1E2381" w14:textId="77777777" w:rsidR="00837548" w:rsidRPr="003D27D1" w:rsidRDefault="00837548" w:rsidP="00221902">
      <w:pPr>
        <w:pStyle w:val="ListParagraph"/>
        <w:numPr>
          <w:ilvl w:val="0"/>
          <w:numId w:val="3"/>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The retail revenue requirement approved in this Order does not include any expenses prohibited from recovery under PURA §§ 36.061(a) and 36.062.</w:t>
      </w:r>
    </w:p>
    <w:p w14:paraId="730B5729" w14:textId="77777777" w:rsidR="00837548" w:rsidRPr="003D27D1" w:rsidRDefault="00837548" w:rsidP="00221902">
      <w:pPr>
        <w:pStyle w:val="ListParagraph"/>
        <w:numPr>
          <w:ilvl w:val="0"/>
          <w:numId w:val="3"/>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CenterPoint Houston’s invested capital through the end of the test year meets the requirement of PURA § 36.058.</w:t>
      </w:r>
    </w:p>
    <w:p w14:paraId="651B2B73" w14:textId="77777777" w:rsidR="00837548" w:rsidRPr="003D27D1" w:rsidRDefault="00837548" w:rsidP="00221902">
      <w:pPr>
        <w:pStyle w:val="ListParagraph"/>
        <w:numPr>
          <w:ilvl w:val="0"/>
          <w:numId w:val="3"/>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The affiliate expenses included in CenterPoint Houston’s rates under the agreement comply with the requirements of PURA § 36.058.</w:t>
      </w:r>
    </w:p>
    <w:p w14:paraId="759F5C66" w14:textId="77777777" w:rsidR="00837548" w:rsidRPr="003D27D1" w:rsidRDefault="002C5DC7" w:rsidP="00221902">
      <w:pPr>
        <w:pStyle w:val="ListParagraph"/>
        <w:numPr>
          <w:ilvl w:val="0"/>
          <w:numId w:val="3"/>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Under PURA § 36.065(b), a utility may establish one or more reserve accounts for expenses for pension and other postemployment benefits.</w:t>
      </w:r>
    </w:p>
    <w:p w14:paraId="4B7DDF50" w14:textId="303237F2" w:rsidR="002C5DC7" w:rsidRPr="003D27D1" w:rsidRDefault="002C5DC7" w:rsidP="00221902">
      <w:pPr>
        <w:pStyle w:val="ListParagraph"/>
        <w:numPr>
          <w:ilvl w:val="0"/>
          <w:numId w:val="3"/>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 xml:space="preserve">The refund of the </w:t>
      </w:r>
      <w:r w:rsidR="00063268">
        <w:rPr>
          <w:rFonts w:ascii="Times New Roman" w:hAnsi="Times New Roman" w:cs="Times New Roman"/>
          <w:sz w:val="24"/>
          <w:szCs w:val="24"/>
        </w:rPr>
        <w:t xml:space="preserve">unprotected EDIT </w:t>
      </w:r>
      <w:r w:rsidRPr="003D27D1">
        <w:rPr>
          <w:rFonts w:ascii="Times New Roman" w:hAnsi="Times New Roman" w:cs="Times New Roman"/>
          <w:sz w:val="24"/>
          <w:szCs w:val="24"/>
        </w:rPr>
        <w:t xml:space="preserve">regulatory liability related to the Tax Cuts and Jobs Act, which is described above in finding of fact </w:t>
      </w:r>
      <w:r w:rsidR="00787B05" w:rsidRPr="00597B43">
        <w:rPr>
          <w:rFonts w:ascii="Times New Roman" w:hAnsi="Times New Roman" w:cs="Times New Roman"/>
          <w:sz w:val="24"/>
          <w:szCs w:val="24"/>
        </w:rPr>
        <w:t>96</w:t>
      </w:r>
      <w:r w:rsidRPr="003D27D1">
        <w:rPr>
          <w:rFonts w:ascii="Times New Roman" w:hAnsi="Times New Roman" w:cs="Times New Roman"/>
          <w:sz w:val="24"/>
          <w:szCs w:val="24"/>
        </w:rPr>
        <w:t xml:space="preserve">, </w:t>
      </w:r>
      <w:r w:rsidR="00B62854" w:rsidRPr="003D27D1">
        <w:rPr>
          <w:rFonts w:ascii="Times New Roman" w:hAnsi="Times New Roman" w:cs="Times New Roman"/>
          <w:sz w:val="24"/>
          <w:szCs w:val="24"/>
        </w:rPr>
        <w:t>is</w:t>
      </w:r>
      <w:r w:rsidRPr="003D27D1">
        <w:rPr>
          <w:rFonts w:ascii="Times New Roman" w:hAnsi="Times New Roman" w:cs="Times New Roman"/>
          <w:sz w:val="24"/>
          <w:szCs w:val="24"/>
        </w:rPr>
        <w:t xml:space="preserve"> reasonable and in accordance with the requirement of the Commission’s order in Project No. 47945.</w:t>
      </w:r>
    </w:p>
    <w:p w14:paraId="3884382D" w14:textId="77777777" w:rsidR="002C5DC7" w:rsidRPr="003D27D1" w:rsidRDefault="002C5DC7" w:rsidP="00221902">
      <w:pPr>
        <w:pStyle w:val="ListParagraph"/>
        <w:numPr>
          <w:ilvl w:val="0"/>
          <w:numId w:val="3"/>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The agreement resolves certain issues between the parties in this docket.</w:t>
      </w:r>
    </w:p>
    <w:p w14:paraId="1D0D0894" w14:textId="77777777" w:rsidR="002C5DC7" w:rsidRPr="003D27D1" w:rsidRDefault="002C5DC7" w:rsidP="00221902">
      <w:pPr>
        <w:pStyle w:val="ListParagraph"/>
        <w:numPr>
          <w:ilvl w:val="0"/>
          <w:numId w:val="3"/>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The tariff sheets and rates schedules approved in this Order are just and reasonable.</w:t>
      </w:r>
    </w:p>
    <w:p w14:paraId="0F026AE2" w14:textId="1198FD55" w:rsidR="002C5DC7" w:rsidRPr="003D27D1" w:rsidRDefault="002C5DC7" w:rsidP="00221902">
      <w:pPr>
        <w:pStyle w:val="ListParagraph"/>
        <w:numPr>
          <w:ilvl w:val="0"/>
          <w:numId w:val="3"/>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lastRenderedPageBreak/>
        <w:t xml:space="preserve">The Commission’s adoption of a final order in accordance with the settlement agreement </w:t>
      </w:r>
      <w:r w:rsidR="00977175" w:rsidRPr="003D27D1">
        <w:rPr>
          <w:rFonts w:ascii="Times New Roman" w:hAnsi="Times New Roman" w:cs="Times New Roman"/>
          <w:sz w:val="24"/>
          <w:szCs w:val="24"/>
        </w:rPr>
        <w:t xml:space="preserve">and in accordance with this Commission’s determination on contested issues related to ring -fencing </w:t>
      </w:r>
      <w:r w:rsidRPr="003D27D1">
        <w:rPr>
          <w:rFonts w:ascii="Times New Roman" w:hAnsi="Times New Roman" w:cs="Times New Roman"/>
          <w:sz w:val="24"/>
          <w:szCs w:val="24"/>
        </w:rPr>
        <w:t>satisfies the requirements of Texas Government Code §§ 2001.051.</w:t>
      </w:r>
    </w:p>
    <w:p w14:paraId="15F88533" w14:textId="1D798C3E" w:rsidR="002C5DC7" w:rsidRPr="003D27D1" w:rsidRDefault="002C5DC7" w:rsidP="0039589B">
      <w:pPr>
        <w:spacing w:before="240" w:after="120" w:line="240" w:lineRule="auto"/>
        <w:jc w:val="center"/>
        <w:rPr>
          <w:rFonts w:ascii="Times New Roman" w:hAnsi="Times New Roman" w:cs="Times New Roman"/>
          <w:b/>
          <w:bCs/>
          <w:sz w:val="24"/>
          <w:szCs w:val="24"/>
        </w:rPr>
      </w:pPr>
      <w:r w:rsidRPr="003D27D1">
        <w:rPr>
          <w:rFonts w:ascii="Times New Roman" w:hAnsi="Times New Roman" w:cs="Times New Roman"/>
          <w:b/>
          <w:bCs/>
          <w:sz w:val="24"/>
          <w:szCs w:val="24"/>
        </w:rPr>
        <w:t>III.</w:t>
      </w:r>
      <w:r w:rsidR="0039589B" w:rsidRPr="003D27D1">
        <w:rPr>
          <w:rFonts w:ascii="Times New Roman" w:hAnsi="Times New Roman" w:cs="Times New Roman"/>
          <w:b/>
          <w:bCs/>
          <w:sz w:val="24"/>
          <w:szCs w:val="24"/>
        </w:rPr>
        <w:tab/>
      </w:r>
      <w:r w:rsidRPr="003D27D1">
        <w:rPr>
          <w:rFonts w:ascii="Times New Roman" w:hAnsi="Times New Roman" w:cs="Times New Roman"/>
          <w:b/>
          <w:bCs/>
          <w:sz w:val="24"/>
          <w:szCs w:val="24"/>
        </w:rPr>
        <w:t xml:space="preserve">Ordering </w:t>
      </w:r>
      <w:bookmarkStart w:id="6" w:name="_GoBack"/>
      <w:bookmarkEnd w:id="6"/>
      <w:r w:rsidRPr="003D27D1">
        <w:rPr>
          <w:rFonts w:ascii="Times New Roman" w:hAnsi="Times New Roman" w:cs="Times New Roman"/>
          <w:b/>
          <w:bCs/>
          <w:sz w:val="24"/>
          <w:szCs w:val="24"/>
        </w:rPr>
        <w:t>Paragraphs</w:t>
      </w:r>
    </w:p>
    <w:p w14:paraId="6B98DF9F" w14:textId="77777777" w:rsidR="002C5DC7" w:rsidRPr="003D27D1" w:rsidRDefault="002C5DC7" w:rsidP="0039589B">
      <w:pPr>
        <w:pStyle w:val="ListParagraph"/>
        <w:spacing w:before="120" w:after="0" w:line="360" w:lineRule="auto"/>
        <w:ind w:left="0"/>
        <w:contextualSpacing w:val="0"/>
        <w:rPr>
          <w:rFonts w:ascii="Times New Roman" w:hAnsi="Times New Roman" w:cs="Times New Roman"/>
          <w:sz w:val="24"/>
          <w:szCs w:val="24"/>
        </w:rPr>
      </w:pPr>
      <w:r w:rsidRPr="003D27D1">
        <w:rPr>
          <w:rFonts w:ascii="Times New Roman" w:hAnsi="Times New Roman" w:cs="Times New Roman"/>
          <w:sz w:val="24"/>
          <w:szCs w:val="24"/>
        </w:rPr>
        <w:tab/>
        <w:t>In accordance with these finding of fact and conclusions of law, the Commission issues the following orders:</w:t>
      </w:r>
    </w:p>
    <w:p w14:paraId="229DCC62" w14:textId="77777777" w:rsidR="002C5DC7" w:rsidRPr="003D27D1" w:rsidRDefault="002C5DC7" w:rsidP="006547BE">
      <w:pPr>
        <w:pStyle w:val="ListParagraph"/>
        <w:numPr>
          <w:ilvl w:val="0"/>
          <w:numId w:val="4"/>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The Commission approves CenterPoint Houston’s application, as modified by the settlement agreement, to the extent provided in this Order.</w:t>
      </w:r>
    </w:p>
    <w:p w14:paraId="68B6F718" w14:textId="77777777" w:rsidR="002C5DC7" w:rsidRPr="003D27D1" w:rsidRDefault="002C5DC7" w:rsidP="006547BE">
      <w:pPr>
        <w:pStyle w:val="ListParagraph"/>
        <w:numPr>
          <w:ilvl w:val="0"/>
          <w:numId w:val="4"/>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The Commission approves the rates, terms, and conditions described in this Order.</w:t>
      </w:r>
    </w:p>
    <w:p w14:paraId="7BFB3434" w14:textId="77777777" w:rsidR="002C5DC7" w:rsidRPr="003D27D1" w:rsidRDefault="002C5DC7" w:rsidP="006547BE">
      <w:pPr>
        <w:pStyle w:val="ListParagraph"/>
        <w:numPr>
          <w:ilvl w:val="0"/>
          <w:numId w:val="4"/>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The Commission approve CenterPoint Houston’s tariffs attached to the settlement agreement.</w:t>
      </w:r>
    </w:p>
    <w:p w14:paraId="224E92CF" w14:textId="353B651F" w:rsidR="002C5DC7" w:rsidRPr="003D27D1" w:rsidRDefault="002C5DC7" w:rsidP="006547BE">
      <w:pPr>
        <w:pStyle w:val="ListParagraph"/>
        <w:numPr>
          <w:ilvl w:val="0"/>
          <w:numId w:val="4"/>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 xml:space="preserve">The final rates approved in this Order are effective for electricity bills rendered on and after </w:t>
      </w:r>
      <w:r w:rsidR="007244BC" w:rsidRPr="003D27D1">
        <w:rPr>
          <w:rFonts w:ascii="Times New Roman" w:hAnsi="Times New Roman" w:cs="Times New Roman"/>
          <w:sz w:val="24"/>
          <w:szCs w:val="24"/>
        </w:rPr>
        <w:t xml:space="preserve">March 1, 2020.  </w:t>
      </w:r>
      <w:r w:rsidR="007244BC" w:rsidRPr="00597B43">
        <w:rPr>
          <w:rFonts w:ascii="Times New Roman" w:hAnsi="Times New Roman" w:cs="Times New Roman"/>
          <w:sz w:val="24"/>
          <w:szCs w:val="24"/>
        </w:rPr>
        <w:t xml:space="preserve">[OR If the Commission issues a Final Order on or after February </w:t>
      </w:r>
      <w:r w:rsidR="00761D68" w:rsidRPr="00597B43">
        <w:rPr>
          <w:rFonts w:ascii="Times New Roman" w:hAnsi="Times New Roman" w:cs="Times New Roman"/>
          <w:sz w:val="24"/>
          <w:szCs w:val="24"/>
        </w:rPr>
        <w:t>6</w:t>
      </w:r>
      <w:r w:rsidR="007244BC" w:rsidRPr="00597B43">
        <w:rPr>
          <w:rFonts w:ascii="Times New Roman" w:hAnsi="Times New Roman" w:cs="Times New Roman"/>
          <w:sz w:val="24"/>
          <w:szCs w:val="24"/>
        </w:rPr>
        <w:t>, 2020, then the approved rates will be effective 45 days after the date of the Order.]</w:t>
      </w:r>
    </w:p>
    <w:p w14:paraId="59571B8D" w14:textId="4D9BCF44" w:rsidR="002C5DC7" w:rsidRPr="003D27D1" w:rsidRDefault="002C5DC7" w:rsidP="006547BE">
      <w:pPr>
        <w:pStyle w:val="ListParagraph"/>
        <w:numPr>
          <w:ilvl w:val="0"/>
          <w:numId w:val="4"/>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Within 20 days of the date of this Order, CenterPoint Houston must file a clean record copy of the approved tariffs to be stamped “Approved” by Central Records and retain</w:t>
      </w:r>
      <w:r w:rsidR="00A12125" w:rsidRPr="003D27D1">
        <w:rPr>
          <w:rFonts w:ascii="Times New Roman" w:hAnsi="Times New Roman" w:cs="Times New Roman"/>
          <w:sz w:val="24"/>
          <w:szCs w:val="24"/>
        </w:rPr>
        <w:t>ed</w:t>
      </w:r>
      <w:r w:rsidRPr="003D27D1">
        <w:rPr>
          <w:rFonts w:ascii="Times New Roman" w:hAnsi="Times New Roman" w:cs="Times New Roman"/>
          <w:sz w:val="24"/>
          <w:szCs w:val="24"/>
        </w:rPr>
        <w:t xml:space="preserve"> by the Commission.</w:t>
      </w:r>
    </w:p>
    <w:p w14:paraId="1A8F5E67" w14:textId="77777777" w:rsidR="002C5DC7" w:rsidRPr="003D27D1" w:rsidRDefault="007821C9" w:rsidP="006547BE">
      <w:pPr>
        <w:pStyle w:val="ListParagraph"/>
        <w:numPr>
          <w:ilvl w:val="0"/>
          <w:numId w:val="4"/>
        </w:numPr>
        <w:spacing w:before="120" w:after="0" w:line="360" w:lineRule="auto"/>
        <w:ind w:hanging="720"/>
        <w:contextualSpacing w:val="0"/>
        <w:rPr>
          <w:rFonts w:ascii="Times New Roman" w:hAnsi="Times New Roman" w:cs="Times New Roman"/>
          <w:sz w:val="24"/>
          <w:szCs w:val="24"/>
        </w:rPr>
      </w:pPr>
      <w:r w:rsidRPr="003D27D1">
        <w:rPr>
          <w:rFonts w:ascii="Times New Roman" w:hAnsi="Times New Roman" w:cs="Times New Roman"/>
          <w:sz w:val="24"/>
          <w:szCs w:val="24"/>
        </w:rPr>
        <w:t>CenterPoint Houston must serve copies of all tariff-related filings on all parties of record.</w:t>
      </w:r>
    </w:p>
    <w:p w14:paraId="2444832F" w14:textId="16B1274D" w:rsidR="0058585A" w:rsidRPr="003D27D1" w:rsidRDefault="0058585A" w:rsidP="0058585A">
      <w:pPr>
        <w:pStyle w:val="OrderingParagraph"/>
        <w:numPr>
          <w:ilvl w:val="0"/>
          <w:numId w:val="4"/>
        </w:numPr>
        <w:ind w:hanging="720"/>
        <w:rPr>
          <w:sz w:val="24"/>
          <w:szCs w:val="24"/>
        </w:rPr>
      </w:pPr>
      <w:r w:rsidRPr="003D27D1">
        <w:rPr>
          <w:sz w:val="24"/>
          <w:szCs w:val="24"/>
        </w:rPr>
        <w:t xml:space="preserve">CenterPoint Houston’s depreciation rates must be those set forth in Exhibit </w:t>
      </w:r>
      <w:r w:rsidRPr="00597B43">
        <w:rPr>
          <w:sz w:val="24"/>
          <w:szCs w:val="24"/>
        </w:rPr>
        <w:t>F</w:t>
      </w:r>
      <w:r w:rsidRPr="003D27D1">
        <w:rPr>
          <w:sz w:val="24"/>
          <w:szCs w:val="24"/>
        </w:rPr>
        <w:t xml:space="preserve"> to the settlement agreement.</w:t>
      </w:r>
    </w:p>
    <w:p w14:paraId="736970AC" w14:textId="512B940B" w:rsidR="0058585A" w:rsidRPr="003D27D1" w:rsidRDefault="0058585A" w:rsidP="0058585A">
      <w:pPr>
        <w:pStyle w:val="OrderingParagraph"/>
        <w:numPr>
          <w:ilvl w:val="0"/>
          <w:numId w:val="4"/>
        </w:numPr>
        <w:ind w:hanging="720"/>
        <w:rPr>
          <w:sz w:val="24"/>
          <w:szCs w:val="24"/>
        </w:rPr>
      </w:pPr>
      <w:r w:rsidRPr="003D27D1">
        <w:rPr>
          <w:sz w:val="24"/>
          <w:szCs w:val="24"/>
        </w:rPr>
        <w:t>CenterPoint Houston must use the baseline values set forth in Exhibit </w:t>
      </w:r>
      <w:r w:rsidRPr="00597B43">
        <w:rPr>
          <w:sz w:val="24"/>
          <w:szCs w:val="24"/>
        </w:rPr>
        <w:t>G</w:t>
      </w:r>
      <w:r w:rsidRPr="003D27D1">
        <w:rPr>
          <w:sz w:val="24"/>
          <w:szCs w:val="24"/>
        </w:rPr>
        <w:t xml:space="preserve"> to the settlement agreement for interim updates of transmission rates.</w:t>
      </w:r>
    </w:p>
    <w:p w14:paraId="6BEFED47" w14:textId="3B30EBAD" w:rsidR="00A4547D" w:rsidRPr="00597B43" w:rsidRDefault="00E21AA4" w:rsidP="003D083A">
      <w:pPr>
        <w:pStyle w:val="OrderingParagraph"/>
        <w:numPr>
          <w:ilvl w:val="0"/>
          <w:numId w:val="4"/>
        </w:numPr>
        <w:ind w:hanging="720"/>
        <w:rPr>
          <w:sz w:val="24"/>
          <w:szCs w:val="24"/>
        </w:rPr>
      </w:pPr>
      <w:r w:rsidRPr="003D27D1">
        <w:rPr>
          <w:sz w:val="24"/>
          <w:szCs w:val="24"/>
        </w:rPr>
        <w:t>CenterPoint Houston must use the baseline values set forth in Exhibit </w:t>
      </w:r>
      <w:r w:rsidRPr="00597B43">
        <w:rPr>
          <w:sz w:val="24"/>
          <w:szCs w:val="24"/>
        </w:rPr>
        <w:t>H to the settlement agreement in TCRF applications.</w:t>
      </w:r>
    </w:p>
    <w:p w14:paraId="642450AB" w14:textId="5EEE368E" w:rsidR="0058585A" w:rsidRPr="003D27D1" w:rsidRDefault="0058585A" w:rsidP="0058585A">
      <w:pPr>
        <w:pStyle w:val="OrderingParagraph"/>
        <w:numPr>
          <w:ilvl w:val="0"/>
          <w:numId w:val="4"/>
        </w:numPr>
        <w:ind w:hanging="720"/>
        <w:rPr>
          <w:sz w:val="24"/>
          <w:szCs w:val="24"/>
        </w:rPr>
      </w:pPr>
      <w:r w:rsidRPr="00597B43">
        <w:rPr>
          <w:sz w:val="24"/>
          <w:szCs w:val="24"/>
        </w:rPr>
        <w:t>CenterPoint Houston must use the baseline values set forth in Exhibit I</w:t>
      </w:r>
      <w:r w:rsidRPr="003D27D1">
        <w:rPr>
          <w:sz w:val="24"/>
          <w:szCs w:val="24"/>
        </w:rPr>
        <w:t xml:space="preserve"> to the settlement agreement in DCRF applications.</w:t>
      </w:r>
    </w:p>
    <w:p w14:paraId="73AFE0B1" w14:textId="57CC831C" w:rsidR="00A4547D" w:rsidRPr="003D27D1" w:rsidRDefault="00A4547D" w:rsidP="0058585A">
      <w:pPr>
        <w:pStyle w:val="OrderingParagraph"/>
        <w:numPr>
          <w:ilvl w:val="0"/>
          <w:numId w:val="4"/>
        </w:numPr>
        <w:ind w:hanging="720"/>
        <w:rPr>
          <w:sz w:val="24"/>
          <w:szCs w:val="24"/>
        </w:rPr>
      </w:pPr>
      <w:r w:rsidRPr="003D27D1">
        <w:rPr>
          <w:sz w:val="24"/>
          <w:szCs w:val="24"/>
        </w:rPr>
        <w:t xml:space="preserve">CenterPoint Houston </w:t>
      </w:r>
      <w:r w:rsidR="00B62854" w:rsidRPr="003D27D1">
        <w:rPr>
          <w:sz w:val="24"/>
          <w:szCs w:val="24"/>
        </w:rPr>
        <w:t>may</w:t>
      </w:r>
      <w:r w:rsidRPr="003D27D1">
        <w:rPr>
          <w:sz w:val="24"/>
          <w:szCs w:val="24"/>
        </w:rPr>
        <w:t xml:space="preserve"> not file a DCRF proceeding during the 2020 calendar year.</w:t>
      </w:r>
    </w:p>
    <w:p w14:paraId="054552A2" w14:textId="3BB456B5" w:rsidR="00A4547D" w:rsidRPr="003D27D1" w:rsidRDefault="00A4547D" w:rsidP="003D5ED7">
      <w:pPr>
        <w:pStyle w:val="OrderingParagraph"/>
        <w:numPr>
          <w:ilvl w:val="0"/>
          <w:numId w:val="4"/>
        </w:numPr>
        <w:ind w:hanging="720"/>
        <w:rPr>
          <w:sz w:val="24"/>
          <w:szCs w:val="24"/>
        </w:rPr>
      </w:pPr>
      <w:r w:rsidRPr="003D27D1">
        <w:rPr>
          <w:sz w:val="24"/>
          <w:szCs w:val="24"/>
        </w:rPr>
        <w:lastRenderedPageBreak/>
        <w:t xml:space="preserve">CenterPoint Houston shall update its distribution rate base to account for the effects of changed ADFIT and EDIT regulatory liability balances, in each </w:t>
      </w:r>
      <w:r w:rsidR="003D083A" w:rsidRPr="003D27D1">
        <w:rPr>
          <w:sz w:val="24"/>
          <w:szCs w:val="24"/>
        </w:rPr>
        <w:t xml:space="preserve">future DCRF </w:t>
      </w:r>
      <w:r w:rsidRPr="003D27D1">
        <w:rPr>
          <w:sz w:val="24"/>
          <w:szCs w:val="24"/>
        </w:rPr>
        <w:t>proceeding requesting an update of its distribution rates.</w:t>
      </w:r>
    </w:p>
    <w:p w14:paraId="3C32D5EA" w14:textId="20676B60" w:rsidR="00A4547D" w:rsidRPr="003D27D1" w:rsidRDefault="003D083A" w:rsidP="003D5ED7">
      <w:pPr>
        <w:pStyle w:val="OrderingParagraph"/>
        <w:numPr>
          <w:ilvl w:val="0"/>
          <w:numId w:val="4"/>
        </w:numPr>
        <w:ind w:hanging="720"/>
        <w:rPr>
          <w:sz w:val="24"/>
          <w:szCs w:val="24"/>
        </w:rPr>
      </w:pPr>
      <w:r w:rsidRPr="003D27D1">
        <w:rPr>
          <w:sz w:val="24"/>
          <w:szCs w:val="24"/>
        </w:rPr>
        <w:t>Between the date of the final order in this proceeding and the date of the final order in CenterPoint Houston’s next base rate proceeding, when updating its transmission rate base through TCOS proceedings, CenterPoint Houston shall update its transmission rate base to account for the effects of changed ADFIT and EDIT</w:t>
      </w:r>
      <w:r w:rsidR="006E18C1">
        <w:rPr>
          <w:sz w:val="24"/>
          <w:szCs w:val="24"/>
        </w:rPr>
        <w:t xml:space="preserve"> </w:t>
      </w:r>
      <w:r w:rsidRPr="003D27D1">
        <w:rPr>
          <w:sz w:val="24"/>
          <w:szCs w:val="24"/>
        </w:rPr>
        <w:t>regulatory liability balances, in each proceeding requesting an update of its wholesale transmission rates.</w:t>
      </w:r>
    </w:p>
    <w:p w14:paraId="6037AAED" w14:textId="5B9AE3E9" w:rsidR="0058585A" w:rsidRPr="003D27D1" w:rsidRDefault="0058585A" w:rsidP="0058585A">
      <w:pPr>
        <w:pStyle w:val="OrderingParagraph"/>
        <w:numPr>
          <w:ilvl w:val="0"/>
          <w:numId w:val="4"/>
        </w:numPr>
        <w:ind w:hanging="720"/>
        <w:rPr>
          <w:sz w:val="24"/>
          <w:szCs w:val="24"/>
        </w:rPr>
      </w:pPr>
      <w:r w:rsidRPr="003D27D1">
        <w:rPr>
          <w:sz w:val="24"/>
          <w:szCs w:val="24"/>
        </w:rPr>
        <w:t>CenterPoint Houston must allocate the revenue increase approved in this Order among the rate classes as set forth in Exhibit </w:t>
      </w:r>
      <w:r w:rsidRPr="00597B43">
        <w:rPr>
          <w:sz w:val="24"/>
          <w:szCs w:val="24"/>
        </w:rPr>
        <w:t>B</w:t>
      </w:r>
      <w:r w:rsidRPr="003D27D1">
        <w:rPr>
          <w:sz w:val="24"/>
          <w:szCs w:val="24"/>
        </w:rPr>
        <w:t xml:space="preserve"> to the settlement agreement.</w:t>
      </w:r>
    </w:p>
    <w:p w14:paraId="6026496B" w14:textId="73E80508" w:rsidR="00707515" w:rsidRPr="003D27D1" w:rsidRDefault="00707515" w:rsidP="0058585A">
      <w:pPr>
        <w:pStyle w:val="OrderingParagraph"/>
        <w:numPr>
          <w:ilvl w:val="0"/>
          <w:numId w:val="4"/>
        </w:numPr>
        <w:ind w:hanging="720"/>
        <w:rPr>
          <w:sz w:val="24"/>
          <w:szCs w:val="24"/>
        </w:rPr>
      </w:pPr>
      <w:r w:rsidRPr="003D27D1">
        <w:rPr>
          <w:sz w:val="24"/>
          <w:szCs w:val="24"/>
        </w:rPr>
        <w:t>CenterPoint Houston must recover all transmission-related costs through its TCRF.</w:t>
      </w:r>
    </w:p>
    <w:p w14:paraId="52A53B23" w14:textId="7C147440" w:rsidR="0058585A" w:rsidRPr="003D27D1" w:rsidRDefault="0058585A" w:rsidP="0058585A">
      <w:pPr>
        <w:pStyle w:val="OrderingParagraph"/>
        <w:numPr>
          <w:ilvl w:val="0"/>
          <w:numId w:val="4"/>
        </w:numPr>
        <w:ind w:hanging="720"/>
        <w:rPr>
          <w:sz w:val="24"/>
          <w:szCs w:val="24"/>
        </w:rPr>
      </w:pPr>
      <w:r w:rsidRPr="003D27D1">
        <w:rPr>
          <w:sz w:val="24"/>
          <w:szCs w:val="24"/>
        </w:rPr>
        <w:t>The Commission approves the rate design in Exhibit </w:t>
      </w:r>
      <w:r w:rsidRPr="00597B43">
        <w:rPr>
          <w:sz w:val="24"/>
          <w:szCs w:val="24"/>
        </w:rPr>
        <w:t>C</w:t>
      </w:r>
      <w:r w:rsidRPr="003D27D1">
        <w:rPr>
          <w:sz w:val="24"/>
          <w:szCs w:val="24"/>
        </w:rPr>
        <w:t xml:space="preserve"> to the settlement agreement.</w:t>
      </w:r>
    </w:p>
    <w:p w14:paraId="27DA7CEA" w14:textId="1B3BDA4A" w:rsidR="0058585A" w:rsidRPr="003D27D1" w:rsidRDefault="0058585A" w:rsidP="0058585A">
      <w:pPr>
        <w:pStyle w:val="OrderingParagraph"/>
        <w:numPr>
          <w:ilvl w:val="0"/>
          <w:numId w:val="4"/>
        </w:numPr>
        <w:ind w:hanging="720"/>
        <w:rPr>
          <w:sz w:val="24"/>
          <w:szCs w:val="24"/>
        </w:rPr>
      </w:pPr>
      <w:r w:rsidRPr="003D27D1">
        <w:rPr>
          <w:sz w:val="24"/>
          <w:szCs w:val="24"/>
        </w:rPr>
        <w:t>CenterPoint Houston must use a weighted average cost of capital of 6.51%, which is based on a</w:t>
      </w:r>
      <w:r w:rsidR="00122182">
        <w:rPr>
          <w:sz w:val="24"/>
          <w:szCs w:val="24"/>
        </w:rPr>
        <w:t>n a</w:t>
      </w:r>
      <w:r w:rsidR="00055381">
        <w:rPr>
          <w:sz w:val="24"/>
          <w:szCs w:val="24"/>
        </w:rPr>
        <w:t>s filed</w:t>
      </w:r>
      <w:r w:rsidRPr="003D27D1">
        <w:rPr>
          <w:sz w:val="24"/>
          <w:szCs w:val="24"/>
        </w:rPr>
        <w:t xml:space="preserve"> 4.38% cost of debt, an a</w:t>
      </w:r>
      <w:r w:rsidR="00C4041B">
        <w:rPr>
          <w:sz w:val="24"/>
          <w:szCs w:val="24"/>
        </w:rPr>
        <w:t>greed</w:t>
      </w:r>
      <w:r w:rsidRPr="003D27D1">
        <w:rPr>
          <w:sz w:val="24"/>
          <w:szCs w:val="24"/>
        </w:rPr>
        <w:t xml:space="preserve"> return on equity of 9.4%, and an a</w:t>
      </w:r>
      <w:r w:rsidR="00C4041B">
        <w:rPr>
          <w:sz w:val="24"/>
          <w:szCs w:val="24"/>
        </w:rPr>
        <w:t>greed</w:t>
      </w:r>
      <w:r w:rsidRPr="003D27D1">
        <w:rPr>
          <w:sz w:val="24"/>
          <w:szCs w:val="24"/>
        </w:rPr>
        <w:t xml:space="preserve"> regulatory capital structure of 57.5% long-term debt and 42.5% equity, in all Commission proceedings or filings requiring application of those items.</w:t>
      </w:r>
    </w:p>
    <w:p w14:paraId="40899451" w14:textId="2EB4F85C" w:rsidR="00F40759" w:rsidRPr="003D27D1" w:rsidRDefault="00F40759" w:rsidP="0058585A">
      <w:pPr>
        <w:pStyle w:val="OrderingParagraph"/>
        <w:numPr>
          <w:ilvl w:val="0"/>
          <w:numId w:val="4"/>
        </w:numPr>
        <w:ind w:hanging="720"/>
        <w:rPr>
          <w:sz w:val="24"/>
          <w:szCs w:val="24"/>
        </w:rPr>
      </w:pPr>
      <w:r w:rsidRPr="003D27D1">
        <w:rPr>
          <w:sz w:val="24"/>
          <w:szCs w:val="24"/>
        </w:rPr>
        <w:t>CenterPoint Houston must file a base rate case no later than four years from the date of the Final Order in this docket</w:t>
      </w:r>
      <w:r w:rsidR="00A4547D" w:rsidRPr="003D27D1">
        <w:rPr>
          <w:sz w:val="24"/>
          <w:szCs w:val="24"/>
        </w:rPr>
        <w:t>.  CenterPoint Houston may file a base rate case earlier than four years from the date of the Final Order in this docket.</w:t>
      </w:r>
    </w:p>
    <w:p w14:paraId="03F6F6A0" w14:textId="1FC0A8F7" w:rsidR="0058585A" w:rsidRPr="003D27D1" w:rsidRDefault="0058585A" w:rsidP="0058585A">
      <w:pPr>
        <w:pStyle w:val="OrderingParagraph"/>
        <w:numPr>
          <w:ilvl w:val="0"/>
          <w:numId w:val="4"/>
        </w:numPr>
        <w:ind w:hanging="720"/>
        <w:rPr>
          <w:sz w:val="24"/>
          <w:szCs w:val="24"/>
        </w:rPr>
      </w:pPr>
      <w:r w:rsidRPr="003D27D1">
        <w:rPr>
          <w:sz w:val="24"/>
          <w:szCs w:val="24"/>
        </w:rPr>
        <w:t>CenterPoint Houston must use a total company cash working capital of $24,269,000 in earnings monitoring reports for reporting years beginning in 20</w:t>
      </w:r>
      <w:r w:rsidR="000249F7" w:rsidRPr="003D27D1">
        <w:rPr>
          <w:sz w:val="24"/>
          <w:szCs w:val="24"/>
        </w:rPr>
        <w:t>20</w:t>
      </w:r>
      <w:r w:rsidRPr="003D27D1">
        <w:rPr>
          <w:sz w:val="24"/>
          <w:szCs w:val="24"/>
        </w:rPr>
        <w:t>.</w:t>
      </w:r>
    </w:p>
    <w:p w14:paraId="346014E5" w14:textId="105892EC" w:rsidR="0058585A" w:rsidRPr="003D27D1" w:rsidRDefault="00526521" w:rsidP="00526521">
      <w:pPr>
        <w:pStyle w:val="OrderingParagraph"/>
        <w:numPr>
          <w:ilvl w:val="0"/>
          <w:numId w:val="4"/>
        </w:numPr>
        <w:ind w:hanging="720"/>
        <w:rPr>
          <w:sz w:val="24"/>
          <w:szCs w:val="24"/>
        </w:rPr>
      </w:pPr>
      <w:r w:rsidRPr="003D27D1">
        <w:rPr>
          <w:sz w:val="24"/>
          <w:szCs w:val="24"/>
        </w:rPr>
        <w:t>CenterPoint Houston must refund</w:t>
      </w:r>
      <w:r w:rsidR="00876E2D">
        <w:rPr>
          <w:sz w:val="24"/>
          <w:szCs w:val="24"/>
        </w:rPr>
        <w:t xml:space="preserve"> </w:t>
      </w:r>
      <w:r w:rsidRPr="003D27D1">
        <w:rPr>
          <w:sz w:val="24"/>
          <w:szCs w:val="24"/>
        </w:rPr>
        <w:t xml:space="preserve">excess ADFIT resulting from the change in federal corporate income tax rates under the Tax Cuts and Jobs Act.  </w:t>
      </w:r>
      <w:r w:rsidR="0058585A" w:rsidRPr="003D27D1">
        <w:rPr>
          <w:sz w:val="24"/>
          <w:szCs w:val="24"/>
        </w:rPr>
        <w:t xml:space="preserve">CenterPoint Houston must </w:t>
      </w:r>
      <w:r w:rsidRPr="003D27D1">
        <w:rPr>
          <w:sz w:val="24"/>
          <w:szCs w:val="24"/>
        </w:rPr>
        <w:t>accomplish</w:t>
      </w:r>
      <w:r w:rsidR="00881D67">
        <w:rPr>
          <w:sz w:val="24"/>
          <w:szCs w:val="24"/>
        </w:rPr>
        <w:t xml:space="preserve"> a portion of</w:t>
      </w:r>
      <w:r w:rsidRPr="003D27D1">
        <w:rPr>
          <w:sz w:val="24"/>
          <w:szCs w:val="24"/>
        </w:rPr>
        <w:t xml:space="preserve"> this refund through Rider UEDIT</w:t>
      </w:r>
      <w:r w:rsidR="00881D67">
        <w:rPr>
          <w:sz w:val="24"/>
          <w:szCs w:val="24"/>
        </w:rPr>
        <w:t xml:space="preserve"> and</w:t>
      </w:r>
      <w:r w:rsidR="00876E2D">
        <w:rPr>
          <w:sz w:val="24"/>
          <w:szCs w:val="24"/>
        </w:rPr>
        <w:t xml:space="preserve"> its</w:t>
      </w:r>
      <w:r w:rsidR="00881D67">
        <w:rPr>
          <w:sz w:val="24"/>
          <w:szCs w:val="24"/>
        </w:rPr>
        <w:t xml:space="preserve"> Wholesale Transmission Service tariff</w:t>
      </w:r>
      <w:r w:rsidRPr="003D27D1">
        <w:rPr>
          <w:sz w:val="24"/>
          <w:szCs w:val="24"/>
        </w:rPr>
        <w:t xml:space="preserve"> </w:t>
      </w:r>
      <w:r w:rsidR="005C03D8">
        <w:rPr>
          <w:sz w:val="24"/>
          <w:szCs w:val="24"/>
        </w:rPr>
        <w:t>consistent with finding of fact 96 above</w:t>
      </w:r>
      <w:r w:rsidRPr="003D27D1">
        <w:rPr>
          <w:sz w:val="24"/>
          <w:szCs w:val="24"/>
        </w:rPr>
        <w:t>.</w:t>
      </w:r>
    </w:p>
    <w:p w14:paraId="34E1ED9D" w14:textId="356B6769" w:rsidR="00140E5A" w:rsidRPr="003D27D1" w:rsidRDefault="00140E5A" w:rsidP="00526521">
      <w:pPr>
        <w:pStyle w:val="OrderingParagraph"/>
        <w:numPr>
          <w:ilvl w:val="0"/>
          <w:numId w:val="4"/>
        </w:numPr>
        <w:ind w:hanging="720"/>
        <w:rPr>
          <w:sz w:val="24"/>
          <w:szCs w:val="24"/>
        </w:rPr>
      </w:pPr>
      <w:r w:rsidRPr="003D27D1">
        <w:rPr>
          <w:sz w:val="24"/>
          <w:szCs w:val="24"/>
        </w:rPr>
        <w:t xml:space="preserve">CenterPoint Houston must reimburse </w:t>
      </w:r>
      <w:r w:rsidR="00A16705">
        <w:rPr>
          <w:sz w:val="24"/>
          <w:szCs w:val="24"/>
        </w:rPr>
        <w:t>C</w:t>
      </w:r>
      <w:r w:rsidRPr="003D27D1">
        <w:rPr>
          <w:sz w:val="24"/>
          <w:szCs w:val="24"/>
        </w:rPr>
        <w:t>itie</w:t>
      </w:r>
      <w:r w:rsidR="00AB24B8" w:rsidRPr="003D27D1">
        <w:rPr>
          <w:sz w:val="24"/>
          <w:szCs w:val="24"/>
        </w:rPr>
        <w:t xml:space="preserve">s participating in this docket for rate case expenses incurred in all dockets subject to Docket No. 49595, provided that the </w:t>
      </w:r>
      <w:r w:rsidR="00A16705">
        <w:rPr>
          <w:sz w:val="24"/>
          <w:szCs w:val="24"/>
        </w:rPr>
        <w:t>C</w:t>
      </w:r>
      <w:r w:rsidR="00AB24B8" w:rsidRPr="003D27D1">
        <w:rPr>
          <w:sz w:val="24"/>
          <w:szCs w:val="24"/>
        </w:rPr>
        <w:t xml:space="preserve">ities </w:t>
      </w:r>
      <w:r w:rsidR="00D850B0" w:rsidRPr="003D27D1">
        <w:rPr>
          <w:sz w:val="24"/>
          <w:szCs w:val="24"/>
        </w:rPr>
        <w:t>provide invoices in</w:t>
      </w:r>
      <w:r w:rsidR="00AB24B8" w:rsidRPr="003D27D1">
        <w:rPr>
          <w:sz w:val="24"/>
          <w:szCs w:val="24"/>
        </w:rPr>
        <w:t xml:space="preserve"> </w:t>
      </w:r>
      <w:r w:rsidR="00D850B0" w:rsidRPr="003D27D1">
        <w:rPr>
          <w:sz w:val="24"/>
          <w:szCs w:val="24"/>
        </w:rPr>
        <w:t xml:space="preserve">accordance with the timeline </w:t>
      </w:r>
      <w:r w:rsidR="00AB24B8" w:rsidRPr="003D27D1">
        <w:rPr>
          <w:sz w:val="24"/>
          <w:szCs w:val="24"/>
        </w:rPr>
        <w:t>in the settlement agreement</w:t>
      </w:r>
      <w:r w:rsidR="00D850B0" w:rsidRPr="003D27D1">
        <w:rPr>
          <w:sz w:val="24"/>
          <w:szCs w:val="24"/>
        </w:rPr>
        <w:t>.</w:t>
      </w:r>
    </w:p>
    <w:p w14:paraId="16642612" w14:textId="1FF70891" w:rsidR="003E68E6" w:rsidRPr="003D27D1" w:rsidRDefault="003E68E6" w:rsidP="00526521">
      <w:pPr>
        <w:pStyle w:val="OrderingParagraph"/>
        <w:numPr>
          <w:ilvl w:val="0"/>
          <w:numId w:val="4"/>
        </w:numPr>
        <w:ind w:hanging="720"/>
        <w:rPr>
          <w:sz w:val="24"/>
          <w:szCs w:val="24"/>
        </w:rPr>
      </w:pPr>
      <w:r w:rsidRPr="003D27D1">
        <w:rPr>
          <w:sz w:val="24"/>
          <w:szCs w:val="24"/>
        </w:rPr>
        <w:lastRenderedPageBreak/>
        <w:t>CenterPoint Houston must withdraw or move to dismiss Docket No. 49595 within 30 days of the issuance Final Order in this proceeding.</w:t>
      </w:r>
    </w:p>
    <w:p w14:paraId="45D17B69" w14:textId="64AD9334" w:rsidR="003D083A" w:rsidRPr="003D27D1" w:rsidRDefault="003D083A" w:rsidP="003D5ED7">
      <w:pPr>
        <w:pStyle w:val="OrderingParagraph"/>
        <w:numPr>
          <w:ilvl w:val="0"/>
          <w:numId w:val="4"/>
        </w:numPr>
        <w:ind w:hanging="720"/>
        <w:rPr>
          <w:sz w:val="24"/>
          <w:szCs w:val="24"/>
        </w:rPr>
      </w:pPr>
      <w:r w:rsidRPr="003D27D1">
        <w:rPr>
          <w:sz w:val="24"/>
          <w:szCs w:val="24"/>
        </w:rPr>
        <w:t>CenterPoint Houston must make an annual self-insurance reserve accrual to achieve a target reserve of $6.55 million from the current reserve deficit level of $5.79 million and the annual self-insurance reserve accrual shall be $7.685 million to be comprised of (1) $3.575 million to provide for average annual expected operations and maintenance (O&amp;M) expense losses from events where losses are greater than $100,000; and (2) $4.11 million accrued annually for three years</w:t>
      </w:r>
      <w:r w:rsidR="00140E5A" w:rsidRPr="003D27D1">
        <w:rPr>
          <w:sz w:val="24"/>
          <w:szCs w:val="24"/>
        </w:rPr>
        <w:t>.</w:t>
      </w:r>
    </w:p>
    <w:p w14:paraId="150BA74F" w14:textId="63BD8012" w:rsidR="00691E46" w:rsidRPr="003D27D1" w:rsidRDefault="00ED624F" w:rsidP="003D5ED7">
      <w:pPr>
        <w:pStyle w:val="OrderingParagraph"/>
        <w:numPr>
          <w:ilvl w:val="0"/>
          <w:numId w:val="4"/>
        </w:numPr>
        <w:ind w:hanging="720"/>
        <w:rPr>
          <w:sz w:val="24"/>
          <w:szCs w:val="24"/>
        </w:rPr>
      </w:pPr>
      <w:r w:rsidRPr="003D27D1">
        <w:rPr>
          <w:sz w:val="24"/>
          <w:szCs w:val="24"/>
        </w:rPr>
        <w:t>CenterPoint Houston’s credit agreements and indentures shall not contain cross-default provisions by which a default by CNP or its other affiliates would cause a default at CenterPoint Houston.</w:t>
      </w:r>
    </w:p>
    <w:p w14:paraId="0E7F2A09" w14:textId="77777777" w:rsidR="00ED624F" w:rsidRPr="003D27D1" w:rsidRDefault="00ED624F" w:rsidP="003D5ED7">
      <w:pPr>
        <w:pStyle w:val="OrderingParagraph"/>
        <w:numPr>
          <w:ilvl w:val="0"/>
          <w:numId w:val="4"/>
        </w:numPr>
        <w:ind w:hanging="720"/>
        <w:rPr>
          <w:sz w:val="24"/>
          <w:szCs w:val="24"/>
        </w:rPr>
      </w:pPr>
      <w:r w:rsidRPr="003D27D1">
        <w:rPr>
          <w:sz w:val="24"/>
          <w:szCs w:val="24"/>
        </w:rPr>
        <w:t>The financial covenant in CenterPoint Houston’s credit agreement shall not be related to any entity other than CenterPoint Houston.  CenterPoint Houston shall not include in its debt or credit agreements any financial covenants or rating-rating agency triggers related to any entity other than CenterPoint Houston.</w:t>
      </w:r>
    </w:p>
    <w:p w14:paraId="3F7C4F1F" w14:textId="77777777" w:rsidR="00ED624F" w:rsidRPr="003D27D1" w:rsidRDefault="00ED624F" w:rsidP="003D5ED7">
      <w:pPr>
        <w:pStyle w:val="OrderingParagraph"/>
        <w:numPr>
          <w:ilvl w:val="0"/>
          <w:numId w:val="4"/>
        </w:numPr>
        <w:ind w:hanging="720"/>
        <w:rPr>
          <w:sz w:val="24"/>
          <w:szCs w:val="24"/>
        </w:rPr>
      </w:pPr>
      <w:r w:rsidRPr="003D27D1">
        <w:rPr>
          <w:sz w:val="24"/>
          <w:szCs w:val="24"/>
        </w:rPr>
        <w:t>CenterPoint Houston shall not pledge its assets in respect of or guaranty any debt or obligation of any of its affiliates.  CenterPoint Houston shall not pledge, mortgage, hypothecate, or grant a lien upon the property of CenterPoint Houston except pursuant to an exception in effect in CenterPoint Houston’s current credit agreement, such as the first mortgage and general mortgage.</w:t>
      </w:r>
    </w:p>
    <w:p w14:paraId="1EF4266A" w14:textId="77777777" w:rsidR="00ED624F" w:rsidRPr="003D27D1" w:rsidRDefault="00ED624F" w:rsidP="003D5ED7">
      <w:pPr>
        <w:pStyle w:val="OrderingParagraph"/>
        <w:numPr>
          <w:ilvl w:val="0"/>
          <w:numId w:val="4"/>
        </w:numPr>
        <w:ind w:hanging="720"/>
        <w:rPr>
          <w:sz w:val="24"/>
          <w:szCs w:val="24"/>
        </w:rPr>
      </w:pPr>
      <w:r w:rsidRPr="003D27D1">
        <w:rPr>
          <w:sz w:val="24"/>
          <w:szCs w:val="24"/>
        </w:rPr>
        <w:t>CenterPoint Houston shall maintain its own stand-alone credit facility, and CenterPoint Houston shall not share its credit facility with any regulated or unregulated affiliate.</w:t>
      </w:r>
    </w:p>
    <w:p w14:paraId="1772754B" w14:textId="77777777" w:rsidR="00ED624F" w:rsidRPr="003D27D1" w:rsidRDefault="00ED624F" w:rsidP="003D5ED7">
      <w:pPr>
        <w:pStyle w:val="OrderingParagraph"/>
        <w:numPr>
          <w:ilvl w:val="0"/>
          <w:numId w:val="4"/>
        </w:numPr>
        <w:ind w:hanging="720"/>
        <w:rPr>
          <w:sz w:val="24"/>
          <w:szCs w:val="24"/>
        </w:rPr>
      </w:pPr>
      <w:r w:rsidRPr="003D27D1">
        <w:rPr>
          <w:sz w:val="24"/>
          <w:szCs w:val="24"/>
        </w:rPr>
        <w:t>CenterPoint Houston shall maintain registrations with all three ratings agencies.</w:t>
      </w:r>
    </w:p>
    <w:p w14:paraId="1D0A8E59" w14:textId="77777777" w:rsidR="00ED624F" w:rsidRPr="003D27D1" w:rsidRDefault="00ED624F" w:rsidP="003D5ED7">
      <w:pPr>
        <w:pStyle w:val="OrderingParagraph"/>
        <w:numPr>
          <w:ilvl w:val="0"/>
          <w:numId w:val="4"/>
        </w:numPr>
        <w:ind w:hanging="720"/>
        <w:rPr>
          <w:sz w:val="24"/>
          <w:szCs w:val="24"/>
        </w:rPr>
      </w:pPr>
      <w:r w:rsidRPr="003D27D1">
        <w:rPr>
          <w:sz w:val="24"/>
          <w:szCs w:val="24"/>
        </w:rPr>
        <w:t>CenterPoint Houston shall maintain a stand-alone credit rating.</w:t>
      </w:r>
    </w:p>
    <w:p w14:paraId="3903A67A" w14:textId="77777777" w:rsidR="00ED624F" w:rsidRPr="003D27D1" w:rsidRDefault="00ED624F" w:rsidP="003D5ED7">
      <w:pPr>
        <w:pStyle w:val="OrderingParagraph"/>
        <w:numPr>
          <w:ilvl w:val="0"/>
          <w:numId w:val="4"/>
        </w:numPr>
        <w:ind w:hanging="720"/>
        <w:rPr>
          <w:sz w:val="24"/>
          <w:szCs w:val="24"/>
        </w:rPr>
      </w:pPr>
      <w:r w:rsidRPr="003D27D1">
        <w:rPr>
          <w:sz w:val="24"/>
          <w:szCs w:val="24"/>
        </w:rPr>
        <w:t>CenterPoint Houston’s first mortgage bonds and general mortgage bonds shall be secured only with CenterPoint Houston’s assets.</w:t>
      </w:r>
    </w:p>
    <w:p w14:paraId="5C166E5C" w14:textId="77777777" w:rsidR="00ED624F" w:rsidRPr="003D27D1" w:rsidRDefault="00ED624F" w:rsidP="003D5ED7">
      <w:pPr>
        <w:pStyle w:val="OrderingParagraph"/>
        <w:numPr>
          <w:ilvl w:val="0"/>
          <w:numId w:val="4"/>
        </w:numPr>
        <w:ind w:hanging="720"/>
        <w:rPr>
          <w:sz w:val="24"/>
          <w:szCs w:val="24"/>
        </w:rPr>
      </w:pPr>
      <w:r w:rsidRPr="003D27D1">
        <w:rPr>
          <w:sz w:val="24"/>
          <w:szCs w:val="24"/>
        </w:rPr>
        <w:t>No CenterPoint Houston assets may be used to secure the debt of CNP or its non-CenterPoint Houston affiliates.</w:t>
      </w:r>
    </w:p>
    <w:p w14:paraId="6394A9AB" w14:textId="77777777" w:rsidR="00ED624F" w:rsidRPr="003D27D1" w:rsidRDefault="00ED624F" w:rsidP="003D5ED7">
      <w:pPr>
        <w:pStyle w:val="OrderingParagraph"/>
        <w:numPr>
          <w:ilvl w:val="0"/>
          <w:numId w:val="4"/>
        </w:numPr>
        <w:ind w:hanging="720"/>
        <w:rPr>
          <w:sz w:val="24"/>
          <w:szCs w:val="24"/>
        </w:rPr>
      </w:pPr>
      <w:r w:rsidRPr="003D27D1">
        <w:rPr>
          <w:sz w:val="24"/>
          <w:szCs w:val="24"/>
        </w:rPr>
        <w:lastRenderedPageBreak/>
        <w:t>CenterPoint Houston shall not hold out its credit as being available to pay the debt of any affiliates (provided that, for the avoidance of doubt, CenterPoint Houston is not considered to be holding its credit out to pay the debt of affiliates, or in breach of any other ring-fencing measure, with respect to the $68 million of CenterPoint Houston general mortgage bonds that currently serve as collateral for certain outstanding CNP pollution control bonds).</w:t>
      </w:r>
    </w:p>
    <w:p w14:paraId="593DF4B0" w14:textId="77777777" w:rsidR="00ED624F" w:rsidRPr="003D27D1" w:rsidRDefault="00ED624F" w:rsidP="003D5ED7">
      <w:pPr>
        <w:pStyle w:val="OrderingParagraph"/>
        <w:numPr>
          <w:ilvl w:val="0"/>
          <w:numId w:val="4"/>
        </w:numPr>
        <w:ind w:hanging="720"/>
        <w:rPr>
          <w:sz w:val="24"/>
          <w:szCs w:val="24"/>
        </w:rPr>
      </w:pPr>
      <w:r w:rsidRPr="003D27D1">
        <w:rPr>
          <w:sz w:val="24"/>
          <w:szCs w:val="24"/>
        </w:rPr>
        <w:t>Without prior approval of the Commission, neither CNP nor any affiliate of CNP (excluding CenterPoint Houston) may incur, guaranty, or pledge assets in respect of any incremental new debt that is dependent on: (1) the revenues of CenterPoint Houston in more than a proportionate degree than the other revenues of CenterPoint Houston; or (2) the stock of CenterPoint Houston.</w:t>
      </w:r>
    </w:p>
    <w:p w14:paraId="38E0EF89" w14:textId="72365CB5" w:rsidR="00ED624F" w:rsidRPr="003D27D1" w:rsidRDefault="00ED624F" w:rsidP="003D5ED7">
      <w:pPr>
        <w:pStyle w:val="OrderingParagraph"/>
        <w:numPr>
          <w:ilvl w:val="0"/>
          <w:numId w:val="4"/>
        </w:numPr>
        <w:ind w:hanging="720"/>
        <w:rPr>
          <w:b/>
          <w:sz w:val="24"/>
          <w:szCs w:val="24"/>
        </w:rPr>
      </w:pPr>
      <w:r w:rsidRPr="003D27D1">
        <w:rPr>
          <w:sz w:val="24"/>
          <w:szCs w:val="24"/>
        </w:rPr>
        <w:t>CenterPoint Houston shall not transfer any material assets or facilities to any affiliates, other than a transfer that is on an arm’s length basis consistent with the Commission’s affiliate standards applicable to CenterPoint Houston.</w:t>
      </w:r>
    </w:p>
    <w:p w14:paraId="28522E51" w14:textId="77777777" w:rsidR="00ED624F" w:rsidRPr="003D27D1" w:rsidRDefault="00ED624F" w:rsidP="003D5ED7">
      <w:pPr>
        <w:pStyle w:val="OrderingParagraph"/>
        <w:numPr>
          <w:ilvl w:val="0"/>
          <w:numId w:val="4"/>
        </w:numPr>
        <w:ind w:hanging="720"/>
        <w:rPr>
          <w:sz w:val="24"/>
          <w:szCs w:val="24"/>
        </w:rPr>
      </w:pPr>
      <w:r w:rsidRPr="003D27D1">
        <w:rPr>
          <w:sz w:val="24"/>
          <w:szCs w:val="24"/>
        </w:rPr>
        <w:t>Except for its participation in an affiliate money pool, CenterPoint Houston shall not commingle its assets with those of other CNP affiliates.</w:t>
      </w:r>
    </w:p>
    <w:p w14:paraId="73C7A134" w14:textId="77777777" w:rsidR="00ED624F" w:rsidRPr="003D27D1" w:rsidRDefault="00ED624F" w:rsidP="003D5ED7">
      <w:pPr>
        <w:pStyle w:val="OrderingParagraph"/>
        <w:numPr>
          <w:ilvl w:val="0"/>
          <w:numId w:val="4"/>
        </w:numPr>
        <w:ind w:hanging="720"/>
        <w:rPr>
          <w:b/>
          <w:sz w:val="24"/>
          <w:szCs w:val="24"/>
        </w:rPr>
      </w:pPr>
      <w:r w:rsidRPr="003D27D1">
        <w:rPr>
          <w:sz w:val="24"/>
          <w:szCs w:val="24"/>
        </w:rPr>
        <w:t>Except for its participation in an affiliate money pool, CenterPoint Houston shall not lend money to or borrow money from CNP affiliates.</w:t>
      </w:r>
    </w:p>
    <w:p w14:paraId="104A4B59" w14:textId="3DD7FE25" w:rsidR="00ED624F" w:rsidRPr="003D27D1" w:rsidRDefault="00ED624F" w:rsidP="00ED624F">
      <w:pPr>
        <w:pStyle w:val="OrderingParagraph"/>
        <w:numPr>
          <w:ilvl w:val="0"/>
          <w:numId w:val="4"/>
        </w:numPr>
        <w:ind w:hanging="720"/>
        <w:rPr>
          <w:sz w:val="24"/>
          <w:szCs w:val="24"/>
        </w:rPr>
      </w:pPr>
      <w:r w:rsidRPr="003D27D1">
        <w:rPr>
          <w:sz w:val="24"/>
          <w:szCs w:val="24"/>
        </w:rPr>
        <w:t>CenterPoint Houston shall notify the Commission if its credit issuer rating or corporate rating as rated by any of the three major rating agencies falls below investment grade level.</w:t>
      </w:r>
    </w:p>
    <w:p w14:paraId="223D9627" w14:textId="073ADB8B" w:rsidR="005C5C8A" w:rsidRPr="00597B43" w:rsidRDefault="005C5C8A" w:rsidP="00ED624F">
      <w:pPr>
        <w:pStyle w:val="OrderingParagraph"/>
        <w:numPr>
          <w:ilvl w:val="0"/>
          <w:numId w:val="4"/>
        </w:numPr>
        <w:ind w:hanging="720"/>
        <w:rPr>
          <w:sz w:val="24"/>
          <w:szCs w:val="24"/>
        </w:rPr>
      </w:pPr>
      <w:r w:rsidRPr="00597B43">
        <w:rPr>
          <w:sz w:val="24"/>
          <w:szCs w:val="24"/>
        </w:rPr>
        <w:t>[If necessary, add dividend restriction]</w:t>
      </w:r>
    </w:p>
    <w:p w14:paraId="5A7859BA" w14:textId="77777777" w:rsidR="0058585A" w:rsidRPr="003D27D1" w:rsidRDefault="0058585A" w:rsidP="0058585A">
      <w:pPr>
        <w:pStyle w:val="OrderingParagraph"/>
        <w:numPr>
          <w:ilvl w:val="0"/>
          <w:numId w:val="4"/>
        </w:numPr>
        <w:ind w:hanging="720"/>
        <w:rPr>
          <w:sz w:val="24"/>
          <w:szCs w:val="24"/>
        </w:rPr>
      </w:pPr>
      <w:r w:rsidRPr="003D27D1">
        <w:rPr>
          <w:sz w:val="24"/>
          <w:szCs w:val="24"/>
        </w:rPr>
        <w:t>Entry of this Order does not indicate the Commission’s endorsement or approval of any principle or methodology that may underlie the agreement and must not be regarded as precedential as to the appropriateness of any principle or methodology underlying the agreement.</w:t>
      </w:r>
    </w:p>
    <w:p w14:paraId="76D1C634" w14:textId="22FB02D3" w:rsidR="007821C9" w:rsidRPr="003D27D1" w:rsidRDefault="0058585A" w:rsidP="0058585A">
      <w:pPr>
        <w:pStyle w:val="OrderingParagraph"/>
        <w:numPr>
          <w:ilvl w:val="0"/>
          <w:numId w:val="4"/>
        </w:numPr>
        <w:ind w:hanging="720"/>
        <w:rPr>
          <w:sz w:val="24"/>
          <w:szCs w:val="24"/>
        </w:rPr>
      </w:pPr>
      <w:r w:rsidRPr="003D27D1">
        <w:rPr>
          <w:sz w:val="24"/>
          <w:szCs w:val="24"/>
        </w:rPr>
        <w:t>The Commission denies all other motions and any other requests for general or specific relief that are not expressly granted.</w:t>
      </w:r>
    </w:p>
    <w:p w14:paraId="68ADBDBD" w14:textId="5A6137BC" w:rsidR="00176311" w:rsidRDefault="00176311">
      <w:pPr>
        <w:rPr>
          <w:rFonts w:ascii="Times New Roman" w:hAnsi="Times New Roman" w:cs="Times New Roman"/>
          <w:sz w:val="24"/>
          <w:szCs w:val="24"/>
        </w:rPr>
      </w:pPr>
      <w:r>
        <w:rPr>
          <w:rFonts w:ascii="Times New Roman" w:hAnsi="Times New Roman" w:cs="Times New Roman"/>
          <w:sz w:val="24"/>
          <w:szCs w:val="24"/>
        </w:rPr>
        <w:br w:type="page"/>
      </w:r>
    </w:p>
    <w:p w14:paraId="0D7B9AC2" w14:textId="54F37D25" w:rsidR="00176311" w:rsidRPr="00176311" w:rsidRDefault="00176311" w:rsidP="00176311">
      <w:pPr>
        <w:keepNext/>
        <w:spacing w:before="240" w:after="0" w:line="240" w:lineRule="auto"/>
        <w:ind w:left="720"/>
        <w:rPr>
          <w:rFonts w:ascii="Times New Roman" w:eastAsia="Times New Roman" w:hAnsi="Times New Roman" w:cs="Times New Roman"/>
          <w:b/>
          <w:sz w:val="24"/>
          <w:szCs w:val="24"/>
        </w:rPr>
      </w:pPr>
      <w:r w:rsidRPr="00176311">
        <w:rPr>
          <w:rFonts w:ascii="Times New Roman" w:eastAsia="Times New Roman" w:hAnsi="Times New Roman" w:cs="Times New Roman"/>
          <w:b/>
          <w:sz w:val="24"/>
          <w:szCs w:val="24"/>
        </w:rPr>
        <w:lastRenderedPageBreak/>
        <w:t xml:space="preserve">Signed at Austin, Texas the ______ day of </w:t>
      </w:r>
      <w:r>
        <w:rPr>
          <w:rFonts w:ascii="Times New Roman" w:eastAsia="Times New Roman" w:hAnsi="Times New Roman" w:cs="Times New Roman"/>
          <w:b/>
          <w:sz w:val="24"/>
          <w:szCs w:val="24"/>
        </w:rPr>
        <w:t>January</w:t>
      </w:r>
      <w:r w:rsidRPr="00176311">
        <w:rPr>
          <w:rFonts w:ascii="Times New Roman" w:eastAsia="Times New Roman" w:hAnsi="Times New Roman" w:cs="Times New Roman"/>
          <w:b/>
          <w:sz w:val="24"/>
          <w:szCs w:val="24"/>
        </w:rPr>
        <w:t xml:space="preserve"> 20</w:t>
      </w:r>
      <w:r>
        <w:rPr>
          <w:rFonts w:ascii="Times New Roman" w:eastAsia="Times New Roman" w:hAnsi="Times New Roman" w:cs="Times New Roman"/>
          <w:b/>
          <w:sz w:val="24"/>
          <w:szCs w:val="24"/>
        </w:rPr>
        <w:t>20</w:t>
      </w:r>
      <w:r w:rsidRPr="00176311">
        <w:rPr>
          <w:rFonts w:ascii="Times New Roman" w:eastAsia="Times New Roman" w:hAnsi="Times New Roman" w:cs="Times New Roman"/>
          <w:b/>
          <w:sz w:val="24"/>
          <w:szCs w:val="24"/>
        </w:rPr>
        <w:t>.</w:t>
      </w:r>
    </w:p>
    <w:p w14:paraId="59ECB2A2" w14:textId="77777777" w:rsidR="00176311" w:rsidRPr="00176311" w:rsidRDefault="00176311" w:rsidP="00176311">
      <w:pPr>
        <w:keepNext/>
        <w:spacing w:after="0" w:line="240" w:lineRule="auto"/>
        <w:ind w:left="720"/>
        <w:rPr>
          <w:rFonts w:ascii="Times New Roman" w:eastAsia="Times New Roman" w:hAnsi="Times New Roman" w:cs="Times New Roman"/>
          <w:b/>
          <w:sz w:val="24"/>
          <w:szCs w:val="24"/>
        </w:rPr>
      </w:pPr>
    </w:p>
    <w:p w14:paraId="688DC67E" w14:textId="77777777" w:rsidR="00176311" w:rsidRPr="00176311" w:rsidRDefault="00176311" w:rsidP="00176311">
      <w:pPr>
        <w:keepNext/>
        <w:keepLines/>
        <w:spacing w:after="0" w:line="240" w:lineRule="auto"/>
        <w:ind w:left="3744"/>
        <w:rPr>
          <w:rFonts w:ascii="Times New Roman" w:eastAsia="Times New Roman" w:hAnsi="Times New Roman" w:cs="Times New Roman"/>
          <w:b/>
          <w:sz w:val="24"/>
          <w:szCs w:val="24"/>
        </w:rPr>
      </w:pPr>
      <w:r w:rsidRPr="00176311">
        <w:rPr>
          <w:rFonts w:ascii="Times New Roman" w:eastAsia="Times New Roman" w:hAnsi="Times New Roman" w:cs="Times New Roman"/>
          <w:b/>
          <w:sz w:val="24"/>
          <w:szCs w:val="24"/>
        </w:rPr>
        <w:t>PUBLIC UTILITY COMMISSION OF TEXAS</w:t>
      </w:r>
    </w:p>
    <w:p w14:paraId="2204C138" w14:textId="77777777" w:rsidR="00176311" w:rsidRPr="00176311" w:rsidRDefault="00176311" w:rsidP="00176311">
      <w:pPr>
        <w:keepNext/>
        <w:keepLines/>
        <w:spacing w:after="0" w:line="240" w:lineRule="auto"/>
        <w:ind w:left="3744"/>
        <w:rPr>
          <w:rFonts w:ascii="Times New Roman" w:eastAsia="Times New Roman" w:hAnsi="Times New Roman" w:cs="Times New Roman"/>
          <w:b/>
          <w:sz w:val="24"/>
          <w:szCs w:val="24"/>
        </w:rPr>
      </w:pPr>
    </w:p>
    <w:p w14:paraId="2B7534F9" w14:textId="77777777" w:rsidR="00176311" w:rsidRPr="00176311" w:rsidRDefault="00176311" w:rsidP="00176311">
      <w:pPr>
        <w:keepNext/>
        <w:keepLines/>
        <w:spacing w:after="0" w:line="240" w:lineRule="auto"/>
        <w:ind w:left="3744"/>
        <w:rPr>
          <w:rFonts w:ascii="Times New Roman" w:eastAsia="Times New Roman" w:hAnsi="Times New Roman" w:cs="Times New Roman"/>
          <w:b/>
          <w:sz w:val="24"/>
          <w:szCs w:val="24"/>
        </w:rPr>
      </w:pPr>
    </w:p>
    <w:p w14:paraId="4A7DEDB4" w14:textId="77777777" w:rsidR="00176311" w:rsidRPr="00176311" w:rsidRDefault="00176311" w:rsidP="00176311">
      <w:pPr>
        <w:keepNext/>
        <w:keepLines/>
        <w:spacing w:after="0" w:line="240" w:lineRule="auto"/>
        <w:ind w:left="3744"/>
        <w:rPr>
          <w:rFonts w:ascii="Times New Roman" w:eastAsia="Times New Roman" w:hAnsi="Times New Roman" w:cs="Times New Roman"/>
          <w:b/>
          <w:sz w:val="24"/>
          <w:szCs w:val="24"/>
        </w:rPr>
      </w:pPr>
    </w:p>
    <w:p w14:paraId="5C14E389" w14:textId="77777777" w:rsidR="00176311" w:rsidRPr="00176311" w:rsidRDefault="00176311" w:rsidP="00176311">
      <w:pPr>
        <w:keepNext/>
        <w:keepLines/>
        <w:spacing w:after="0" w:line="240" w:lineRule="auto"/>
        <w:ind w:left="3744"/>
        <w:rPr>
          <w:rFonts w:ascii="Times New Roman" w:eastAsia="Times New Roman" w:hAnsi="Times New Roman" w:cs="Times New Roman"/>
          <w:b/>
          <w:sz w:val="24"/>
          <w:szCs w:val="24"/>
        </w:rPr>
      </w:pPr>
      <w:r w:rsidRPr="00176311">
        <w:rPr>
          <w:rFonts w:ascii="Times New Roman" w:eastAsia="Times New Roman" w:hAnsi="Times New Roman" w:cs="Times New Roman"/>
          <w:b/>
          <w:sz w:val="24"/>
          <w:szCs w:val="24"/>
        </w:rPr>
        <w:t>______________________________________________</w:t>
      </w:r>
    </w:p>
    <w:p w14:paraId="2869F41C" w14:textId="77777777" w:rsidR="00176311" w:rsidRPr="00176311" w:rsidRDefault="00176311" w:rsidP="00176311">
      <w:pPr>
        <w:keepNext/>
        <w:keepLines/>
        <w:spacing w:after="0" w:line="240" w:lineRule="auto"/>
        <w:ind w:left="3744"/>
        <w:rPr>
          <w:rFonts w:ascii="Times New Roman" w:eastAsia="Times New Roman" w:hAnsi="Times New Roman" w:cs="Times New Roman"/>
          <w:b/>
          <w:sz w:val="24"/>
          <w:szCs w:val="24"/>
        </w:rPr>
      </w:pPr>
      <w:r w:rsidRPr="00176311">
        <w:rPr>
          <w:rFonts w:ascii="Times New Roman" w:eastAsia="Times New Roman" w:hAnsi="Times New Roman" w:cs="Times New Roman"/>
          <w:b/>
          <w:sz w:val="24"/>
          <w:szCs w:val="24"/>
        </w:rPr>
        <w:t>DEANN T. WALKER, CHAIRMAN</w:t>
      </w:r>
    </w:p>
    <w:p w14:paraId="03C69AE3" w14:textId="77777777" w:rsidR="00176311" w:rsidRPr="00176311" w:rsidRDefault="00176311" w:rsidP="00176311">
      <w:pPr>
        <w:keepNext/>
        <w:keepLines/>
        <w:spacing w:after="0" w:line="240" w:lineRule="auto"/>
        <w:ind w:left="3744"/>
        <w:rPr>
          <w:rFonts w:ascii="Times New Roman" w:eastAsia="Times New Roman" w:hAnsi="Times New Roman" w:cs="Times New Roman"/>
          <w:b/>
          <w:sz w:val="24"/>
          <w:szCs w:val="24"/>
        </w:rPr>
      </w:pPr>
    </w:p>
    <w:p w14:paraId="7530993B" w14:textId="77777777" w:rsidR="00176311" w:rsidRPr="00176311" w:rsidRDefault="00176311" w:rsidP="00176311">
      <w:pPr>
        <w:keepNext/>
        <w:keepLines/>
        <w:spacing w:after="0" w:line="240" w:lineRule="auto"/>
        <w:ind w:left="3744"/>
        <w:rPr>
          <w:rFonts w:ascii="Times New Roman" w:eastAsia="Times New Roman" w:hAnsi="Times New Roman" w:cs="Times New Roman"/>
          <w:b/>
          <w:sz w:val="24"/>
          <w:szCs w:val="24"/>
        </w:rPr>
      </w:pPr>
    </w:p>
    <w:p w14:paraId="6473510F" w14:textId="77777777" w:rsidR="00176311" w:rsidRPr="00176311" w:rsidRDefault="00176311" w:rsidP="00176311">
      <w:pPr>
        <w:keepNext/>
        <w:keepLines/>
        <w:spacing w:after="0" w:line="240" w:lineRule="auto"/>
        <w:ind w:left="3744"/>
        <w:rPr>
          <w:rFonts w:ascii="Times New Roman" w:eastAsia="Times New Roman" w:hAnsi="Times New Roman" w:cs="Times New Roman"/>
          <w:b/>
          <w:sz w:val="24"/>
          <w:szCs w:val="24"/>
        </w:rPr>
      </w:pPr>
    </w:p>
    <w:p w14:paraId="36F9AA8E" w14:textId="77777777" w:rsidR="00176311" w:rsidRPr="00176311" w:rsidRDefault="00176311" w:rsidP="00176311">
      <w:pPr>
        <w:keepNext/>
        <w:keepLines/>
        <w:spacing w:after="0" w:line="240" w:lineRule="auto"/>
        <w:ind w:left="3744"/>
        <w:rPr>
          <w:rFonts w:ascii="Times New Roman" w:eastAsia="Times New Roman" w:hAnsi="Times New Roman" w:cs="Times New Roman"/>
          <w:b/>
          <w:sz w:val="24"/>
          <w:szCs w:val="24"/>
        </w:rPr>
      </w:pPr>
      <w:r w:rsidRPr="00176311">
        <w:rPr>
          <w:rFonts w:ascii="Times New Roman" w:eastAsia="Times New Roman" w:hAnsi="Times New Roman" w:cs="Times New Roman"/>
          <w:b/>
          <w:sz w:val="24"/>
          <w:szCs w:val="24"/>
        </w:rPr>
        <w:t>______________________________________________</w:t>
      </w:r>
    </w:p>
    <w:p w14:paraId="2310D7F7" w14:textId="77777777" w:rsidR="00176311" w:rsidRPr="00176311" w:rsidRDefault="00176311" w:rsidP="00176311">
      <w:pPr>
        <w:keepNext/>
        <w:keepLines/>
        <w:spacing w:after="0" w:line="240" w:lineRule="auto"/>
        <w:ind w:left="3744"/>
        <w:rPr>
          <w:rFonts w:ascii="Times New Roman" w:eastAsia="Times New Roman" w:hAnsi="Times New Roman" w:cs="Times New Roman"/>
          <w:b/>
          <w:sz w:val="24"/>
          <w:szCs w:val="24"/>
        </w:rPr>
      </w:pPr>
      <w:r w:rsidRPr="00176311">
        <w:rPr>
          <w:rFonts w:ascii="Times New Roman" w:eastAsia="Times New Roman" w:hAnsi="Times New Roman" w:cs="Times New Roman"/>
          <w:b/>
          <w:sz w:val="24"/>
          <w:szCs w:val="24"/>
        </w:rPr>
        <w:t>ARTHUR C. D’ANDREA, COMMISSIONER</w:t>
      </w:r>
    </w:p>
    <w:p w14:paraId="5839D20E" w14:textId="77777777" w:rsidR="00176311" w:rsidRPr="00176311" w:rsidRDefault="00176311" w:rsidP="00176311">
      <w:pPr>
        <w:keepNext/>
        <w:keepLines/>
        <w:spacing w:after="0" w:line="240" w:lineRule="auto"/>
        <w:ind w:left="3744"/>
        <w:rPr>
          <w:rFonts w:ascii="Times New Roman" w:eastAsia="Times New Roman" w:hAnsi="Times New Roman" w:cs="Times New Roman"/>
          <w:b/>
          <w:sz w:val="24"/>
          <w:szCs w:val="24"/>
        </w:rPr>
      </w:pPr>
    </w:p>
    <w:p w14:paraId="3D3C4D2F" w14:textId="77777777" w:rsidR="00176311" w:rsidRPr="00176311" w:rsidRDefault="00176311" w:rsidP="00176311">
      <w:pPr>
        <w:keepNext/>
        <w:keepLines/>
        <w:spacing w:after="0" w:line="240" w:lineRule="auto"/>
        <w:ind w:left="3744"/>
        <w:rPr>
          <w:rFonts w:ascii="Times New Roman" w:eastAsia="Times New Roman" w:hAnsi="Times New Roman" w:cs="Times New Roman"/>
          <w:b/>
          <w:sz w:val="24"/>
          <w:szCs w:val="24"/>
        </w:rPr>
      </w:pPr>
    </w:p>
    <w:p w14:paraId="4D69E5B5" w14:textId="77777777" w:rsidR="00176311" w:rsidRPr="00176311" w:rsidRDefault="00176311" w:rsidP="00176311">
      <w:pPr>
        <w:keepNext/>
        <w:keepLines/>
        <w:spacing w:after="0" w:line="240" w:lineRule="auto"/>
        <w:ind w:left="3744"/>
        <w:rPr>
          <w:rFonts w:ascii="Times New Roman" w:eastAsia="Times New Roman" w:hAnsi="Times New Roman" w:cs="Times New Roman"/>
          <w:b/>
          <w:sz w:val="24"/>
          <w:szCs w:val="24"/>
        </w:rPr>
      </w:pPr>
    </w:p>
    <w:p w14:paraId="729E1E3A" w14:textId="77777777" w:rsidR="00176311" w:rsidRPr="00176311" w:rsidRDefault="00176311" w:rsidP="00176311">
      <w:pPr>
        <w:keepNext/>
        <w:keepLines/>
        <w:spacing w:after="0" w:line="240" w:lineRule="auto"/>
        <w:ind w:left="3744"/>
        <w:rPr>
          <w:rFonts w:ascii="Times New Roman" w:eastAsia="Times New Roman" w:hAnsi="Times New Roman" w:cs="Times New Roman"/>
          <w:b/>
          <w:sz w:val="24"/>
          <w:szCs w:val="24"/>
        </w:rPr>
      </w:pPr>
      <w:r w:rsidRPr="00176311">
        <w:rPr>
          <w:rFonts w:ascii="Times New Roman" w:eastAsia="Times New Roman" w:hAnsi="Times New Roman" w:cs="Times New Roman"/>
          <w:b/>
          <w:sz w:val="24"/>
          <w:szCs w:val="24"/>
        </w:rPr>
        <w:t>______________________________________________</w:t>
      </w:r>
    </w:p>
    <w:p w14:paraId="36FA903B" w14:textId="77777777" w:rsidR="00176311" w:rsidRPr="00176311" w:rsidRDefault="00176311" w:rsidP="00176311">
      <w:pPr>
        <w:keepNext/>
        <w:keepLines/>
        <w:spacing w:after="0" w:line="240" w:lineRule="auto"/>
        <w:ind w:left="3744"/>
        <w:rPr>
          <w:rFonts w:ascii="Times New Roman" w:eastAsia="Times New Roman" w:hAnsi="Times New Roman" w:cs="Times New Roman"/>
          <w:b/>
          <w:sz w:val="24"/>
          <w:szCs w:val="24"/>
        </w:rPr>
      </w:pPr>
      <w:r w:rsidRPr="00176311">
        <w:rPr>
          <w:rFonts w:ascii="Times New Roman" w:eastAsia="Times New Roman" w:hAnsi="Times New Roman" w:cs="Times New Roman"/>
          <w:b/>
          <w:sz w:val="24"/>
          <w:szCs w:val="24"/>
        </w:rPr>
        <w:t>SHELLY BOTKIN, COMMISSIONER</w:t>
      </w:r>
    </w:p>
    <w:p w14:paraId="457BF655" w14:textId="77777777" w:rsidR="00176311" w:rsidRPr="00176311" w:rsidRDefault="00176311" w:rsidP="00176311">
      <w:pPr>
        <w:spacing w:after="0" w:line="240" w:lineRule="auto"/>
        <w:rPr>
          <w:rFonts w:ascii="Times New Roman" w:eastAsia="Times New Roman" w:hAnsi="Times New Roman" w:cs="Times New Roman"/>
          <w:sz w:val="24"/>
          <w:szCs w:val="24"/>
        </w:rPr>
      </w:pPr>
    </w:p>
    <w:p w14:paraId="3FA5FEFC" w14:textId="77777777" w:rsidR="00176311" w:rsidRPr="00176311" w:rsidRDefault="00176311" w:rsidP="00176311">
      <w:pPr>
        <w:spacing w:after="0" w:line="240" w:lineRule="auto"/>
        <w:rPr>
          <w:rFonts w:ascii="Times New Roman" w:eastAsia="Times New Roman" w:hAnsi="Times New Roman" w:cs="Times New Roman"/>
          <w:sz w:val="24"/>
          <w:szCs w:val="24"/>
        </w:rPr>
      </w:pPr>
    </w:p>
    <w:p w14:paraId="5EA41152" w14:textId="77777777" w:rsidR="002C5DC7" w:rsidRPr="003D27D1" w:rsidRDefault="002C5DC7" w:rsidP="002C5DC7">
      <w:pPr>
        <w:rPr>
          <w:rFonts w:ascii="Times New Roman" w:hAnsi="Times New Roman" w:cs="Times New Roman"/>
          <w:sz w:val="24"/>
          <w:szCs w:val="24"/>
        </w:rPr>
      </w:pPr>
    </w:p>
    <w:sectPr w:rsidR="002C5DC7" w:rsidRPr="003D27D1">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AE032D" w14:textId="77777777" w:rsidR="00787F3B" w:rsidRDefault="00787F3B" w:rsidP="00DC1C21">
      <w:pPr>
        <w:spacing w:after="0" w:line="240" w:lineRule="auto"/>
      </w:pPr>
      <w:r>
        <w:separator/>
      </w:r>
    </w:p>
  </w:endnote>
  <w:endnote w:type="continuationSeparator" w:id="0">
    <w:p w14:paraId="7E104A5B" w14:textId="77777777" w:rsidR="00787F3B" w:rsidRDefault="00787F3B" w:rsidP="00DC1C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76313425"/>
      <w:docPartObj>
        <w:docPartGallery w:val="Page Numbers (Bottom of Page)"/>
        <w:docPartUnique/>
      </w:docPartObj>
    </w:sdtPr>
    <w:sdtEndPr>
      <w:rPr>
        <w:noProof/>
      </w:rPr>
    </w:sdtEndPr>
    <w:sdtContent>
      <w:p w14:paraId="567B408A" w14:textId="77777777" w:rsidR="000F7845" w:rsidRDefault="000F7845" w:rsidP="000631A9">
        <w:pPr>
          <w:pStyle w:val="Footer"/>
          <w:jc w:val="center"/>
        </w:pPr>
        <w:r w:rsidRPr="000631A9">
          <w:rPr>
            <w:rFonts w:ascii="Times New Roman" w:hAnsi="Times New Roman" w:cs="Times New Roman"/>
            <w:sz w:val="24"/>
            <w:szCs w:val="24"/>
          </w:rPr>
          <w:fldChar w:fldCharType="begin"/>
        </w:r>
        <w:r w:rsidRPr="000631A9">
          <w:rPr>
            <w:rFonts w:ascii="Times New Roman" w:hAnsi="Times New Roman" w:cs="Times New Roman"/>
            <w:sz w:val="24"/>
            <w:szCs w:val="24"/>
          </w:rPr>
          <w:instrText xml:space="preserve"> PAGE   \* MERGEFORMAT </w:instrText>
        </w:r>
        <w:r w:rsidRPr="000631A9">
          <w:rPr>
            <w:rFonts w:ascii="Times New Roman" w:hAnsi="Times New Roman" w:cs="Times New Roman"/>
            <w:sz w:val="24"/>
            <w:szCs w:val="24"/>
          </w:rPr>
          <w:fldChar w:fldCharType="separate"/>
        </w:r>
        <w:r>
          <w:rPr>
            <w:rFonts w:ascii="Times New Roman" w:hAnsi="Times New Roman" w:cs="Times New Roman"/>
            <w:noProof/>
            <w:sz w:val="24"/>
            <w:szCs w:val="24"/>
          </w:rPr>
          <w:t>1</w:t>
        </w:r>
        <w:r w:rsidRPr="000631A9">
          <w:rPr>
            <w:rFonts w:ascii="Times New Roman" w:hAnsi="Times New Roman" w:cs="Times New Roman"/>
            <w:noProof/>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C53A1F" w14:textId="77777777" w:rsidR="00787F3B" w:rsidRDefault="00787F3B" w:rsidP="00DC1C21">
      <w:pPr>
        <w:spacing w:after="0" w:line="240" w:lineRule="auto"/>
      </w:pPr>
      <w:r>
        <w:separator/>
      </w:r>
    </w:p>
  </w:footnote>
  <w:footnote w:type="continuationSeparator" w:id="0">
    <w:p w14:paraId="5AD54E64" w14:textId="77777777" w:rsidR="00787F3B" w:rsidRDefault="00787F3B" w:rsidP="00DC1C21">
      <w:pPr>
        <w:spacing w:after="0" w:line="240" w:lineRule="auto"/>
      </w:pPr>
      <w:r>
        <w:continuationSeparator/>
      </w:r>
    </w:p>
  </w:footnote>
  <w:footnote w:id="1">
    <w:p w14:paraId="40A57EAD" w14:textId="0CB66CD3" w:rsidR="000F7845" w:rsidRPr="00E33AC4" w:rsidRDefault="000F7845">
      <w:pPr>
        <w:pStyle w:val="FootnoteText"/>
        <w:rPr>
          <w:rFonts w:ascii="Times New Roman" w:hAnsi="Times New Roman" w:cs="Times New Roman"/>
        </w:rPr>
      </w:pPr>
      <w:r w:rsidRPr="00093685">
        <w:rPr>
          <w:rStyle w:val="FootnoteReference"/>
          <w:rFonts w:ascii="Times New Roman" w:hAnsi="Times New Roman" w:cs="Times New Roman"/>
        </w:rPr>
        <w:footnoteRef/>
      </w:r>
      <w:r>
        <w:rPr>
          <w:rFonts w:ascii="Times New Roman" w:hAnsi="Times New Roman" w:cs="Times New Roman"/>
        </w:rPr>
        <w:t xml:space="preserve"> Public Utility Regulatory Act, Tex. Util. Code §§ 11.001 – 66.016 (PURA).</w:t>
      </w:r>
    </w:p>
  </w:footnote>
  <w:footnote w:id="2">
    <w:p w14:paraId="27F99B73" w14:textId="17F19EE5" w:rsidR="000F7845" w:rsidRPr="00E33AC4" w:rsidRDefault="000F7845">
      <w:pPr>
        <w:pStyle w:val="FootnoteText"/>
        <w:rPr>
          <w:rFonts w:ascii="Times New Roman" w:hAnsi="Times New Roman" w:cs="Times New Roman"/>
        </w:rPr>
      </w:pPr>
      <w:r w:rsidRPr="00093685">
        <w:rPr>
          <w:rStyle w:val="FootnoteReference"/>
          <w:rFonts w:ascii="Times New Roman" w:hAnsi="Times New Roman" w:cs="Times New Roman"/>
        </w:rPr>
        <w:footnoteRef/>
      </w:r>
      <w:r w:rsidRPr="00093685">
        <w:rPr>
          <w:rFonts w:ascii="Times New Roman" w:hAnsi="Times New Roman" w:cs="Times New Roman"/>
        </w:rPr>
        <w:t xml:space="preserve"> </w:t>
      </w:r>
      <w:r>
        <w:rPr>
          <w:rFonts w:ascii="Times New Roman" w:hAnsi="Times New Roman" w:cs="Times New Roman"/>
        </w:rPr>
        <w:t>Administrative Procedure Act, Tex. Gov’t Code § 2001.001 -.902.</w:t>
      </w:r>
    </w:p>
  </w:footnote>
  <w:footnote w:id="3">
    <w:p w14:paraId="7A6D3B60" w14:textId="024A1D1E" w:rsidR="00561E83" w:rsidRPr="00E33AC4" w:rsidRDefault="00561E83" w:rsidP="00561E83">
      <w:pPr>
        <w:pStyle w:val="FootnoteText"/>
        <w:rPr>
          <w:rFonts w:ascii="Times New Roman" w:hAnsi="Times New Roman" w:cs="Times New Roman"/>
        </w:rPr>
      </w:pPr>
      <w:r w:rsidRPr="00093685">
        <w:rPr>
          <w:rStyle w:val="FootnoteReference"/>
          <w:rFonts w:ascii="Times New Roman" w:hAnsi="Times New Roman" w:cs="Times New Roman"/>
        </w:rPr>
        <w:footnoteRef/>
      </w:r>
      <w:r w:rsidRPr="00093685">
        <w:rPr>
          <w:rFonts w:ascii="Times New Roman" w:hAnsi="Times New Roman" w:cs="Times New Roman"/>
        </w:rPr>
        <w:t xml:space="preserve"> </w:t>
      </w:r>
      <w:r>
        <w:rPr>
          <w:rFonts w:ascii="Times New Roman" w:hAnsi="Times New Roman" w:cs="Times New Roman"/>
        </w:rPr>
        <w:t>Administrative Procedure Act, Tex. Gov’t Code § 2001.001 -.902.</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513EBD"/>
    <w:multiLevelType w:val="hybridMultilevel"/>
    <w:tmpl w:val="54BE9466"/>
    <w:lvl w:ilvl="0" w:tplc="6272035C">
      <w:start w:val="1"/>
      <w:numFmt w:val="decimal"/>
      <w:lvlText w:val="%1."/>
      <w:lvlJc w:val="left"/>
      <w:pPr>
        <w:ind w:left="450" w:hanging="360"/>
      </w:pPr>
      <w:rPr>
        <w:rFonts w:ascii="Times New Roman" w:hAnsi="Times New Roman" w:cs="Times New Roman" w:hint="default"/>
        <w:b w:val="0"/>
        <w:i w:val="0"/>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6B0667"/>
    <w:multiLevelType w:val="hybridMultilevel"/>
    <w:tmpl w:val="818EA026"/>
    <w:lvl w:ilvl="0" w:tplc="6C300F8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6D33F1A"/>
    <w:multiLevelType w:val="hybridMultilevel"/>
    <w:tmpl w:val="03425954"/>
    <w:lvl w:ilvl="0" w:tplc="555889EA">
      <w:start w:val="1"/>
      <w:numFmt w:val="decimal"/>
      <w:lvlText w:val="%1."/>
      <w:lvlJc w:val="left"/>
      <w:pPr>
        <w:ind w:left="720" w:hanging="360"/>
      </w:pPr>
      <w:rPr>
        <w:rFonts w:ascii="Times New Roman" w:eastAsiaTheme="minorHAnsi" w:hAnsi="Times New Roman" w:cs="Times New Roman"/>
        <w:b w:val="0"/>
        <w:bCs/>
        <w:i w:val="0"/>
        <w:iCs w:val="0"/>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886051E"/>
    <w:multiLevelType w:val="hybridMultilevel"/>
    <w:tmpl w:val="4B56AE9E"/>
    <w:lvl w:ilvl="0" w:tplc="4FC807E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ECF1EBD"/>
    <w:multiLevelType w:val="hybridMultilevel"/>
    <w:tmpl w:val="4C8CE9EE"/>
    <w:lvl w:ilvl="0" w:tplc="D0086802">
      <w:start w:val="1"/>
      <w:numFmt w:val="decimal"/>
      <w:lvlText w:val="%1."/>
      <w:lvlJc w:val="left"/>
      <w:pPr>
        <w:ind w:left="720" w:hanging="360"/>
      </w:pPr>
      <w:rPr>
        <w:rFonts w:ascii="Times New Roman" w:hAnsi="Times New Roman" w:cs="Times New Roman"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4157BCC"/>
    <w:multiLevelType w:val="hybridMultilevel"/>
    <w:tmpl w:val="1F101E4C"/>
    <w:lvl w:ilvl="0" w:tplc="217A9EF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5045415"/>
    <w:multiLevelType w:val="hybridMultilevel"/>
    <w:tmpl w:val="C7A6DBC8"/>
    <w:lvl w:ilvl="0" w:tplc="9DD8E0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5E236B"/>
    <w:multiLevelType w:val="hybridMultilevel"/>
    <w:tmpl w:val="6D2834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F502CE1"/>
    <w:multiLevelType w:val="singleLevel"/>
    <w:tmpl w:val="7124DBDE"/>
    <w:lvl w:ilvl="0">
      <w:start w:val="1"/>
      <w:numFmt w:val="decimal"/>
      <w:pStyle w:val="OrderingParagraph"/>
      <w:lvlText w:val="%1."/>
      <w:lvlJc w:val="left"/>
      <w:pPr>
        <w:tabs>
          <w:tab w:val="num" w:pos="720"/>
        </w:tabs>
        <w:ind w:left="720" w:hanging="720"/>
      </w:pPr>
      <w:rPr>
        <w:b w:val="0"/>
      </w:rPr>
    </w:lvl>
  </w:abstractNum>
  <w:abstractNum w:abstractNumId="9" w15:restartNumberingAfterBreak="0">
    <w:nsid w:val="75DF2EA7"/>
    <w:multiLevelType w:val="hybridMultilevel"/>
    <w:tmpl w:val="058AFA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DC07419"/>
    <w:multiLevelType w:val="hybridMultilevel"/>
    <w:tmpl w:val="F0CEB7DE"/>
    <w:lvl w:ilvl="0" w:tplc="04090015">
      <w:start w:val="1"/>
      <w:numFmt w:val="upperLetter"/>
      <w:lvlText w:val="%1."/>
      <w:lvlJc w:val="left"/>
      <w:pPr>
        <w:ind w:left="720" w:hanging="720"/>
      </w:pPr>
      <w:rPr>
        <w:rFonts w:hint="default"/>
        <w:b/>
        <w:bCs/>
      </w:rPr>
    </w:lvl>
    <w:lvl w:ilvl="1" w:tplc="418E7418">
      <w:start w:val="1"/>
      <w:numFmt w:val="lowerLetter"/>
      <w:lvlText w:val="%2."/>
      <w:lvlJc w:val="left"/>
      <w:pPr>
        <w:ind w:left="1080" w:hanging="360"/>
      </w:pPr>
      <w:rPr>
        <w:b/>
        <w:bCs/>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9"/>
  </w:num>
  <w:num w:numId="2">
    <w:abstractNumId w:val="2"/>
  </w:num>
  <w:num w:numId="3">
    <w:abstractNumId w:val="7"/>
  </w:num>
  <w:num w:numId="4">
    <w:abstractNumId w:val="4"/>
  </w:num>
  <w:num w:numId="5">
    <w:abstractNumId w:val="3"/>
  </w:num>
  <w:num w:numId="6">
    <w:abstractNumId w:val="6"/>
  </w:num>
  <w:num w:numId="7">
    <w:abstractNumId w:val="5"/>
  </w:num>
  <w:num w:numId="8">
    <w:abstractNumId w:val="0"/>
  </w:num>
  <w:num w:numId="9">
    <w:abstractNumId w:val="10"/>
  </w:num>
  <w:num w:numId="10">
    <w:abstractNumId w:val="1"/>
  </w:num>
  <w:num w:numId="11">
    <w:abstractNumId w:val="8"/>
    <w:lvlOverride w:ilvl="0">
      <w:startOverride w:val="1"/>
    </w:lvlOverride>
  </w:num>
  <w:num w:numId="12">
    <w:abstractNumId w:val="8"/>
    <w:lvlOverride w:ilvl="0">
      <w:startOverride w:val="1"/>
    </w:lvlOverride>
  </w:num>
  <w:num w:numId="13">
    <w:abstractNumId w:val="8"/>
    <w:lvlOverride w:ilvl="0">
      <w:startOverride w:val="1"/>
    </w:lvlOverride>
  </w:num>
  <w:num w:numId="14">
    <w:abstractNumId w:val="8"/>
    <w:lvlOverride w:ilvl="0">
      <w:startOverride w:val="1"/>
    </w:lvlOverride>
  </w:num>
  <w:num w:numId="15">
    <w:abstractNumId w:val="8"/>
    <w:lvlOverride w:ilvl="0">
      <w:startOverride w:val="1"/>
    </w:lvlOverride>
  </w:num>
  <w:num w:numId="16">
    <w:abstractNumId w:val="8"/>
    <w:lvlOverride w:ilvl="0">
      <w:startOverride w:val="1"/>
    </w:lvlOverride>
  </w:num>
  <w:num w:numId="17">
    <w:abstractNumId w:val="8"/>
    <w:lvlOverride w:ilvl="0">
      <w:startOverride w:val="1"/>
    </w:lvlOverride>
  </w:num>
  <w:num w:numId="18">
    <w:abstractNumId w:val="8"/>
    <w:lvlOverride w:ilvl="0">
      <w:startOverride w:val="1"/>
    </w:lvlOverride>
  </w:num>
  <w:num w:numId="19">
    <w:abstractNumId w:val="8"/>
    <w:lvlOverride w:ilvl="0">
      <w:startOverride w:val="1"/>
    </w:lvlOverride>
  </w:num>
  <w:num w:numId="20">
    <w:abstractNumId w:val="8"/>
    <w:lvlOverride w:ilvl="0">
      <w:startOverride w:val="1"/>
    </w:lvlOverride>
  </w:num>
  <w:num w:numId="21">
    <w:abstractNumId w:val="8"/>
    <w:lvlOverride w:ilvl="0">
      <w:startOverride w:val="1"/>
    </w:lvlOverride>
  </w:num>
  <w:num w:numId="22">
    <w:abstractNumId w:val="8"/>
    <w:lvlOverride w:ilvl="0">
      <w:startOverride w:val="1"/>
    </w:lvlOverride>
  </w:num>
  <w:num w:numId="23">
    <w:abstractNumId w:val="8"/>
    <w:lvlOverride w:ilvl="0">
      <w:startOverride w:val="1"/>
    </w:lvlOverride>
  </w:num>
  <w:num w:numId="24">
    <w:abstractNumId w:val="8"/>
    <w:lvlOverride w:ilvl="0">
      <w:startOverride w:val="1"/>
    </w:lvlOverride>
  </w:num>
  <w:num w:numId="25">
    <w:abstractNumId w:val="8"/>
    <w:lvlOverride w:ilvl="0">
      <w:startOverride w:val="1"/>
    </w:lvlOverride>
  </w:num>
  <w:num w:numId="26">
    <w:abstractNumId w:val="8"/>
    <w:lvlOverride w:ilvl="0">
      <w:startOverride w:val="1"/>
    </w:lvlOverride>
  </w:num>
  <w:num w:numId="27">
    <w:abstractNumId w:val="8"/>
    <w:lvlOverride w:ilvl="0">
      <w:startOverride w:val="1"/>
    </w:lvlOverride>
  </w:num>
  <w:num w:numId="28">
    <w:abstractNumId w:val="8"/>
    <w:lvlOverride w:ilvl="0">
      <w:startOverride w:val="1"/>
    </w:lvlOverride>
  </w:num>
  <w:num w:numId="29">
    <w:abstractNumId w:val="8"/>
    <w:lvlOverride w:ilvl="0">
      <w:startOverride w:val="1"/>
    </w:lvlOverride>
  </w:num>
  <w:num w:numId="30">
    <w:abstractNumId w:val="8"/>
    <w:lvlOverride w:ilvl="0">
      <w:startOverride w:val="1"/>
    </w:lvlOverride>
  </w:num>
  <w:num w:numId="31">
    <w:abstractNumId w:val="8"/>
    <w:lvlOverride w:ilvl="0">
      <w:startOverride w:val="1"/>
    </w:lvlOverride>
  </w:num>
  <w:num w:numId="32">
    <w:abstractNumId w:val="8"/>
    <w:lvlOverride w:ilvl="0">
      <w:startOverride w:val="1"/>
    </w:lvlOverride>
  </w:num>
  <w:num w:numId="33">
    <w:abstractNumId w:val="8"/>
    <w:lvlOverride w:ilvl="0">
      <w:startOverride w:val="1"/>
    </w:lvlOverride>
  </w:num>
  <w:num w:numId="34">
    <w:abstractNumId w:val="8"/>
    <w:lvlOverride w:ilvl="0">
      <w:startOverride w:val="1"/>
    </w:lvlOverride>
  </w:num>
  <w:num w:numId="35">
    <w:abstractNumId w:val="8"/>
    <w:lvlOverride w:ilvl="0">
      <w:startOverride w:val="1"/>
    </w:lvlOverride>
  </w:num>
  <w:num w:numId="36">
    <w:abstractNumId w:val="8"/>
    <w:lvlOverride w:ilvl="0">
      <w:startOverride w:val="1"/>
    </w:lvlOverride>
  </w:num>
  <w:num w:numId="37">
    <w:abstractNumId w:val="8"/>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hideSpellingErrors/>
  <w:hideGrammaticalErrors/>
  <w:proofState w:spelling="clean"/>
  <w:defaultTabStop w:val="720"/>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5035"/>
    <w:rsid w:val="0000478A"/>
    <w:rsid w:val="00022607"/>
    <w:rsid w:val="000249F7"/>
    <w:rsid w:val="00030623"/>
    <w:rsid w:val="000315A2"/>
    <w:rsid w:val="00031A8B"/>
    <w:rsid w:val="00032D2E"/>
    <w:rsid w:val="0004642D"/>
    <w:rsid w:val="00051248"/>
    <w:rsid w:val="00055381"/>
    <w:rsid w:val="000631A9"/>
    <w:rsid w:val="00063268"/>
    <w:rsid w:val="00080631"/>
    <w:rsid w:val="00093685"/>
    <w:rsid w:val="000B5889"/>
    <w:rsid w:val="000C0972"/>
    <w:rsid w:val="000D3F47"/>
    <w:rsid w:val="000F2647"/>
    <w:rsid w:val="000F7845"/>
    <w:rsid w:val="00101021"/>
    <w:rsid w:val="00122182"/>
    <w:rsid w:val="00140E5A"/>
    <w:rsid w:val="00164D53"/>
    <w:rsid w:val="00176311"/>
    <w:rsid w:val="00196CC9"/>
    <w:rsid w:val="001B061E"/>
    <w:rsid w:val="001C1110"/>
    <w:rsid w:val="001E5CBF"/>
    <w:rsid w:val="00213B12"/>
    <w:rsid w:val="00216224"/>
    <w:rsid w:val="0021682B"/>
    <w:rsid w:val="00221902"/>
    <w:rsid w:val="00250A76"/>
    <w:rsid w:val="00262DFF"/>
    <w:rsid w:val="00271BA5"/>
    <w:rsid w:val="00285C56"/>
    <w:rsid w:val="002A11BB"/>
    <w:rsid w:val="002B0005"/>
    <w:rsid w:val="002B13D3"/>
    <w:rsid w:val="002C18EC"/>
    <w:rsid w:val="002C5DC7"/>
    <w:rsid w:val="002D204A"/>
    <w:rsid w:val="002D43D2"/>
    <w:rsid w:val="00313A75"/>
    <w:rsid w:val="00314A6E"/>
    <w:rsid w:val="0033105B"/>
    <w:rsid w:val="0033119C"/>
    <w:rsid w:val="00332C38"/>
    <w:rsid w:val="00333BF5"/>
    <w:rsid w:val="00336725"/>
    <w:rsid w:val="0035012E"/>
    <w:rsid w:val="00350A63"/>
    <w:rsid w:val="0039589B"/>
    <w:rsid w:val="003978F1"/>
    <w:rsid w:val="003A32EE"/>
    <w:rsid w:val="003A38D7"/>
    <w:rsid w:val="003D083A"/>
    <w:rsid w:val="003D27D1"/>
    <w:rsid w:val="003D5ED7"/>
    <w:rsid w:val="003E68E6"/>
    <w:rsid w:val="0046015A"/>
    <w:rsid w:val="004654C9"/>
    <w:rsid w:val="00474CD7"/>
    <w:rsid w:val="0048000E"/>
    <w:rsid w:val="004C4D7D"/>
    <w:rsid w:val="004D0361"/>
    <w:rsid w:val="004F6440"/>
    <w:rsid w:val="00526521"/>
    <w:rsid w:val="00531B87"/>
    <w:rsid w:val="00533B95"/>
    <w:rsid w:val="00561E83"/>
    <w:rsid w:val="005762CC"/>
    <w:rsid w:val="005805E8"/>
    <w:rsid w:val="0058585A"/>
    <w:rsid w:val="00590539"/>
    <w:rsid w:val="00597B43"/>
    <w:rsid w:val="005C03D8"/>
    <w:rsid w:val="005C5C8A"/>
    <w:rsid w:val="006043A1"/>
    <w:rsid w:val="00611754"/>
    <w:rsid w:val="00625C84"/>
    <w:rsid w:val="00642158"/>
    <w:rsid w:val="006547BE"/>
    <w:rsid w:val="006558EB"/>
    <w:rsid w:val="006572FA"/>
    <w:rsid w:val="00670E53"/>
    <w:rsid w:val="00685858"/>
    <w:rsid w:val="00686B91"/>
    <w:rsid w:val="00691E46"/>
    <w:rsid w:val="006A4339"/>
    <w:rsid w:val="006B5DB6"/>
    <w:rsid w:val="006C0E53"/>
    <w:rsid w:val="006C1666"/>
    <w:rsid w:val="006C7BF1"/>
    <w:rsid w:val="006D22DC"/>
    <w:rsid w:val="006E18C1"/>
    <w:rsid w:val="006E25B0"/>
    <w:rsid w:val="00707515"/>
    <w:rsid w:val="00720478"/>
    <w:rsid w:val="007244BC"/>
    <w:rsid w:val="00724886"/>
    <w:rsid w:val="0073263A"/>
    <w:rsid w:val="00734037"/>
    <w:rsid w:val="00744BF4"/>
    <w:rsid w:val="007528CD"/>
    <w:rsid w:val="00761D68"/>
    <w:rsid w:val="00772F41"/>
    <w:rsid w:val="007821C9"/>
    <w:rsid w:val="00787B05"/>
    <w:rsid w:val="00787F3B"/>
    <w:rsid w:val="007B0004"/>
    <w:rsid w:val="007D606B"/>
    <w:rsid w:val="007E11D1"/>
    <w:rsid w:val="007F3A28"/>
    <w:rsid w:val="007F46F0"/>
    <w:rsid w:val="007F572D"/>
    <w:rsid w:val="008006C2"/>
    <w:rsid w:val="0081753E"/>
    <w:rsid w:val="00824C9C"/>
    <w:rsid w:val="00837548"/>
    <w:rsid w:val="00846DE7"/>
    <w:rsid w:val="00865035"/>
    <w:rsid w:val="008745B8"/>
    <w:rsid w:val="00876E2D"/>
    <w:rsid w:val="00880297"/>
    <w:rsid w:val="00881A8C"/>
    <w:rsid w:val="00881D67"/>
    <w:rsid w:val="0089277B"/>
    <w:rsid w:val="00892991"/>
    <w:rsid w:val="008A5BF9"/>
    <w:rsid w:val="008B0E13"/>
    <w:rsid w:val="008B218E"/>
    <w:rsid w:val="008F63ED"/>
    <w:rsid w:val="00953606"/>
    <w:rsid w:val="009721AA"/>
    <w:rsid w:val="00977175"/>
    <w:rsid w:val="009907E0"/>
    <w:rsid w:val="009C4E2C"/>
    <w:rsid w:val="009C65F6"/>
    <w:rsid w:val="009D608B"/>
    <w:rsid w:val="009D7205"/>
    <w:rsid w:val="009F432F"/>
    <w:rsid w:val="009F43B7"/>
    <w:rsid w:val="009F536A"/>
    <w:rsid w:val="00A12125"/>
    <w:rsid w:val="00A16705"/>
    <w:rsid w:val="00A4547D"/>
    <w:rsid w:val="00A733D9"/>
    <w:rsid w:val="00A9016A"/>
    <w:rsid w:val="00A9637B"/>
    <w:rsid w:val="00AB24B8"/>
    <w:rsid w:val="00AB6EDC"/>
    <w:rsid w:val="00AC1844"/>
    <w:rsid w:val="00AC3020"/>
    <w:rsid w:val="00AE2E63"/>
    <w:rsid w:val="00B016E2"/>
    <w:rsid w:val="00B04296"/>
    <w:rsid w:val="00B04D11"/>
    <w:rsid w:val="00B10380"/>
    <w:rsid w:val="00B2551C"/>
    <w:rsid w:val="00B26150"/>
    <w:rsid w:val="00B36941"/>
    <w:rsid w:val="00B61B8A"/>
    <w:rsid w:val="00B62854"/>
    <w:rsid w:val="00B635A8"/>
    <w:rsid w:val="00BA22E0"/>
    <w:rsid w:val="00BB40ED"/>
    <w:rsid w:val="00BB76B0"/>
    <w:rsid w:val="00BF18CD"/>
    <w:rsid w:val="00C07E25"/>
    <w:rsid w:val="00C11276"/>
    <w:rsid w:val="00C261D0"/>
    <w:rsid w:val="00C4041B"/>
    <w:rsid w:val="00C82C86"/>
    <w:rsid w:val="00CB1F81"/>
    <w:rsid w:val="00CD4017"/>
    <w:rsid w:val="00CE3B2C"/>
    <w:rsid w:val="00CF73B6"/>
    <w:rsid w:val="00D12EE6"/>
    <w:rsid w:val="00D14DC7"/>
    <w:rsid w:val="00D168E0"/>
    <w:rsid w:val="00D241C7"/>
    <w:rsid w:val="00D850B0"/>
    <w:rsid w:val="00D87CB5"/>
    <w:rsid w:val="00DC1C21"/>
    <w:rsid w:val="00DD275B"/>
    <w:rsid w:val="00E01F54"/>
    <w:rsid w:val="00E077BE"/>
    <w:rsid w:val="00E21AA4"/>
    <w:rsid w:val="00E33AC4"/>
    <w:rsid w:val="00E6003A"/>
    <w:rsid w:val="00E902A6"/>
    <w:rsid w:val="00E948BD"/>
    <w:rsid w:val="00EA56FF"/>
    <w:rsid w:val="00EB3050"/>
    <w:rsid w:val="00EB3069"/>
    <w:rsid w:val="00EC6205"/>
    <w:rsid w:val="00ED1D7C"/>
    <w:rsid w:val="00ED624F"/>
    <w:rsid w:val="00EE604E"/>
    <w:rsid w:val="00EE6A98"/>
    <w:rsid w:val="00EF17BA"/>
    <w:rsid w:val="00EF17E4"/>
    <w:rsid w:val="00F06A83"/>
    <w:rsid w:val="00F321E8"/>
    <w:rsid w:val="00F40759"/>
    <w:rsid w:val="00F4527B"/>
    <w:rsid w:val="00F4593A"/>
    <w:rsid w:val="00F53750"/>
    <w:rsid w:val="00F7632C"/>
    <w:rsid w:val="00F9679C"/>
    <w:rsid w:val="00FB6C8A"/>
    <w:rsid w:val="00FC05AA"/>
    <w:rsid w:val="00FC22FE"/>
    <w:rsid w:val="00FD4A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52C032FB"/>
  <w15:chartTrackingRefBased/>
  <w15:docId w15:val="{94AA46CA-EDAF-440A-896A-B5D1318B8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9637B"/>
    <w:pPr>
      <w:ind w:left="720"/>
      <w:contextualSpacing/>
      <w:jc w:val="both"/>
    </w:pPr>
  </w:style>
  <w:style w:type="paragraph" w:styleId="FootnoteText">
    <w:name w:val="footnote text"/>
    <w:basedOn w:val="Normal"/>
    <w:link w:val="FootnoteTextChar"/>
    <w:uiPriority w:val="99"/>
    <w:semiHidden/>
    <w:unhideWhenUsed/>
    <w:rsid w:val="00DC1C2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C1C21"/>
    <w:rPr>
      <w:sz w:val="20"/>
      <w:szCs w:val="20"/>
    </w:rPr>
  </w:style>
  <w:style w:type="character" w:styleId="FootnoteReference">
    <w:name w:val="footnote reference"/>
    <w:basedOn w:val="DefaultParagraphFont"/>
    <w:uiPriority w:val="99"/>
    <w:semiHidden/>
    <w:unhideWhenUsed/>
    <w:rsid w:val="00DC1C21"/>
    <w:rPr>
      <w:vertAlign w:val="superscript"/>
    </w:rPr>
  </w:style>
  <w:style w:type="paragraph" w:styleId="Header">
    <w:name w:val="header"/>
    <w:basedOn w:val="Normal"/>
    <w:link w:val="HeaderChar"/>
    <w:uiPriority w:val="99"/>
    <w:unhideWhenUsed/>
    <w:rsid w:val="00AC1844"/>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1844"/>
  </w:style>
  <w:style w:type="paragraph" w:styleId="Footer">
    <w:name w:val="footer"/>
    <w:basedOn w:val="Normal"/>
    <w:link w:val="FooterChar"/>
    <w:uiPriority w:val="99"/>
    <w:unhideWhenUsed/>
    <w:rsid w:val="00AC1844"/>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1844"/>
  </w:style>
  <w:style w:type="paragraph" w:styleId="BalloonText">
    <w:name w:val="Balloon Text"/>
    <w:basedOn w:val="Normal"/>
    <w:link w:val="BalloonTextChar"/>
    <w:uiPriority w:val="99"/>
    <w:semiHidden/>
    <w:unhideWhenUsed/>
    <w:rsid w:val="00B04D1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4D11"/>
    <w:rPr>
      <w:rFonts w:ascii="Segoe UI" w:hAnsi="Segoe UI" w:cs="Segoe UI"/>
      <w:sz w:val="18"/>
      <w:szCs w:val="18"/>
    </w:rPr>
  </w:style>
  <w:style w:type="character" w:styleId="CommentReference">
    <w:name w:val="annotation reference"/>
    <w:basedOn w:val="DefaultParagraphFont"/>
    <w:uiPriority w:val="99"/>
    <w:semiHidden/>
    <w:unhideWhenUsed/>
    <w:rsid w:val="00B04D11"/>
    <w:rPr>
      <w:sz w:val="16"/>
      <w:szCs w:val="16"/>
    </w:rPr>
  </w:style>
  <w:style w:type="paragraph" w:styleId="CommentText">
    <w:name w:val="annotation text"/>
    <w:basedOn w:val="Normal"/>
    <w:link w:val="CommentTextChar"/>
    <w:uiPriority w:val="99"/>
    <w:semiHidden/>
    <w:unhideWhenUsed/>
    <w:rsid w:val="00B04D11"/>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semiHidden/>
    <w:rsid w:val="00B04D1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04D11"/>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B04D11"/>
    <w:rPr>
      <w:rFonts w:ascii="Times New Roman" w:eastAsia="Times New Roman" w:hAnsi="Times New Roman" w:cs="Times New Roman"/>
      <w:b/>
      <w:bCs/>
      <w:sz w:val="20"/>
      <w:szCs w:val="20"/>
    </w:rPr>
  </w:style>
  <w:style w:type="character" w:customStyle="1" w:styleId="OrderingParagraphChar">
    <w:name w:val="Ordering Paragraph Char"/>
    <w:basedOn w:val="DefaultParagraphFont"/>
    <w:link w:val="OrderingParagraph"/>
    <w:uiPriority w:val="2"/>
    <w:locked/>
    <w:rsid w:val="0058585A"/>
    <w:rPr>
      <w:rFonts w:ascii="Times New Roman" w:eastAsia="Times New Roman" w:hAnsi="Times New Roman" w:cs="Times New Roman"/>
      <w:szCs w:val="20"/>
    </w:rPr>
  </w:style>
  <w:style w:type="paragraph" w:customStyle="1" w:styleId="OrderingParagraph">
    <w:name w:val="Ordering Paragraph"/>
    <w:basedOn w:val="Normal"/>
    <w:link w:val="OrderingParagraphChar"/>
    <w:uiPriority w:val="2"/>
    <w:qFormat/>
    <w:rsid w:val="0058585A"/>
    <w:pPr>
      <w:numPr>
        <w:numId w:val="11"/>
      </w:numPr>
      <w:snapToGrid w:val="0"/>
      <w:spacing w:before="120" w:after="0" w:line="360" w:lineRule="auto"/>
      <w:jc w:val="both"/>
    </w:pPr>
    <w:rPr>
      <w:rFonts w:ascii="Times New Roman" w:eastAsia="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514034">
      <w:bodyDiv w:val="1"/>
      <w:marLeft w:val="0"/>
      <w:marRight w:val="0"/>
      <w:marTop w:val="0"/>
      <w:marBottom w:val="0"/>
      <w:divBdr>
        <w:top w:val="none" w:sz="0" w:space="0" w:color="auto"/>
        <w:left w:val="none" w:sz="0" w:space="0" w:color="auto"/>
        <w:bottom w:val="none" w:sz="0" w:space="0" w:color="auto"/>
        <w:right w:val="none" w:sz="0" w:space="0" w:color="auto"/>
      </w:divBdr>
    </w:div>
    <w:div w:id="596593839">
      <w:bodyDiv w:val="1"/>
      <w:marLeft w:val="0"/>
      <w:marRight w:val="0"/>
      <w:marTop w:val="0"/>
      <w:marBottom w:val="0"/>
      <w:divBdr>
        <w:top w:val="none" w:sz="0" w:space="0" w:color="auto"/>
        <w:left w:val="none" w:sz="0" w:space="0" w:color="auto"/>
        <w:bottom w:val="none" w:sz="0" w:space="0" w:color="auto"/>
        <w:right w:val="none" w:sz="0" w:space="0" w:color="auto"/>
      </w:divBdr>
    </w:div>
    <w:div w:id="756285780">
      <w:bodyDiv w:val="1"/>
      <w:marLeft w:val="0"/>
      <w:marRight w:val="0"/>
      <w:marTop w:val="0"/>
      <w:marBottom w:val="0"/>
      <w:divBdr>
        <w:top w:val="none" w:sz="0" w:space="0" w:color="auto"/>
        <w:left w:val="none" w:sz="0" w:space="0" w:color="auto"/>
        <w:bottom w:val="none" w:sz="0" w:space="0" w:color="auto"/>
        <w:right w:val="none" w:sz="0" w:space="0" w:color="auto"/>
      </w:divBdr>
    </w:div>
    <w:div w:id="958027715">
      <w:bodyDiv w:val="1"/>
      <w:marLeft w:val="0"/>
      <w:marRight w:val="0"/>
      <w:marTop w:val="0"/>
      <w:marBottom w:val="0"/>
      <w:divBdr>
        <w:top w:val="none" w:sz="0" w:space="0" w:color="auto"/>
        <w:left w:val="none" w:sz="0" w:space="0" w:color="auto"/>
        <w:bottom w:val="none" w:sz="0" w:space="0" w:color="auto"/>
        <w:right w:val="none" w:sz="0" w:space="0" w:color="auto"/>
      </w:divBdr>
    </w:div>
    <w:div w:id="1120224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9D268C3DAF6BC4187347457FE04E7AB" ma:contentTypeVersion="0" ma:contentTypeDescription="Create a new document." ma:contentTypeScope="" ma:versionID="bd3907307543b8c7ea4001d1638f3996">
  <xsd:schema xmlns:xsd="http://www.w3.org/2001/XMLSchema" xmlns:xs="http://www.w3.org/2001/XMLSchema" xmlns:p="http://schemas.microsoft.com/office/2006/metadata/properties" targetNamespace="http://schemas.microsoft.com/office/2006/metadata/properties" ma:root="true" ma:fieldsID="d3450b17cc4a2415347e72ba532a68b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BE0477-C4D4-4EFB-B181-6C32C3DBC0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EAE523C-EA89-4044-9D4E-C4F79407D0E4}">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39454A15-EAB3-4218-8A07-4D712D8FC866}">
  <ds:schemaRefs>
    <ds:schemaRef ds:uri="http://schemas.microsoft.com/sharepoint/v3/contenttype/forms"/>
  </ds:schemaRefs>
</ds:datastoreItem>
</file>

<file path=customXml/itemProps4.xml><?xml version="1.0" encoding="utf-8"?>
<ds:datastoreItem xmlns:ds="http://schemas.openxmlformats.org/officeDocument/2006/customXml" ds:itemID="{4735A0EC-0379-4248-A797-4432BD4C1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23</Pages>
  <Words>6532</Words>
  <Characters>37235</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Denise S. Hardcastle</dc:creator>
  <cp:keywords/>
  <dc:description/>
  <cp:lastModifiedBy>Laurie Robinson</cp:lastModifiedBy>
  <cp:revision>4</cp:revision>
  <dcterms:created xsi:type="dcterms:W3CDTF">2020-01-22T17:53:00Z</dcterms:created>
  <dcterms:modified xsi:type="dcterms:W3CDTF">2020-01-22T23:52:00Z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0x010100C9D268C3DAF6BC4187347457FE04E7AB</vt:lpwstr>
  </property>
</Properties>
</file>